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274ED" w14:textId="303E796F" w:rsidR="00C557DC" w:rsidRDefault="00C557DC" w:rsidP="00C557DC">
      <w:pPr>
        <w:pStyle w:val="Sinespaciado"/>
        <w:jc w:val="center"/>
        <w:rPr>
          <w:rFonts w:ascii="Century Gothic" w:hAnsi="Century Gothic"/>
          <w:b/>
          <w:sz w:val="24"/>
        </w:rPr>
      </w:pPr>
      <w:r w:rsidRPr="004A637D">
        <w:rPr>
          <w:rFonts w:ascii="Century Gothic" w:hAnsi="Century Gothic"/>
          <w:b/>
          <w:sz w:val="24"/>
        </w:rPr>
        <w:t xml:space="preserve">INFORME DE PONENCIA PARA </w:t>
      </w:r>
      <w:r w:rsidR="00BB5480">
        <w:rPr>
          <w:rFonts w:ascii="Century Gothic" w:hAnsi="Century Gothic"/>
          <w:b/>
          <w:sz w:val="24"/>
        </w:rPr>
        <w:t xml:space="preserve">PRIMER </w:t>
      </w:r>
      <w:r w:rsidR="00BB5480" w:rsidRPr="004A637D">
        <w:rPr>
          <w:rFonts w:ascii="Century Gothic" w:hAnsi="Century Gothic"/>
          <w:b/>
          <w:sz w:val="24"/>
        </w:rPr>
        <w:t>DEBATE</w:t>
      </w:r>
      <w:r w:rsidR="00BB5480">
        <w:rPr>
          <w:rFonts w:ascii="Century Gothic" w:hAnsi="Century Gothic"/>
          <w:b/>
          <w:sz w:val="24"/>
        </w:rPr>
        <w:t xml:space="preserve"> </w:t>
      </w:r>
      <w:r>
        <w:rPr>
          <w:rFonts w:ascii="Century Gothic" w:hAnsi="Century Gothic"/>
          <w:b/>
          <w:sz w:val="24"/>
        </w:rPr>
        <w:t>EN CÁMARA</w:t>
      </w:r>
      <w:r w:rsidR="00C209CD">
        <w:rPr>
          <w:rFonts w:ascii="Century Gothic" w:hAnsi="Century Gothic"/>
          <w:b/>
          <w:sz w:val="24"/>
        </w:rPr>
        <w:t xml:space="preserve"> – </w:t>
      </w:r>
      <w:r w:rsidR="00BB5480">
        <w:rPr>
          <w:rFonts w:ascii="Century Gothic" w:hAnsi="Century Gothic"/>
          <w:b/>
          <w:sz w:val="24"/>
        </w:rPr>
        <w:t>SEGUNDA VUELTA</w:t>
      </w:r>
    </w:p>
    <w:p w14:paraId="26CD4F28" w14:textId="77777777" w:rsidR="00C557DC" w:rsidRPr="00C557DC" w:rsidRDefault="00C557DC" w:rsidP="00C557DC">
      <w:pPr>
        <w:pStyle w:val="Sinespaciado"/>
        <w:jc w:val="center"/>
        <w:rPr>
          <w:rFonts w:ascii="Century Gothic" w:hAnsi="Century Gothic"/>
          <w:b/>
          <w:sz w:val="24"/>
        </w:rPr>
      </w:pPr>
    </w:p>
    <w:p w14:paraId="7B113764" w14:textId="68FF9EE7" w:rsidR="006B6762" w:rsidRDefault="007A5663" w:rsidP="006B6762">
      <w:pPr>
        <w:spacing w:after="240" w:line="276" w:lineRule="auto"/>
        <w:jc w:val="center"/>
        <w:rPr>
          <w:rFonts w:ascii="Century Gothic" w:hAnsi="Century Gothic" w:cs="Arial"/>
          <w:b/>
          <w:i/>
        </w:rPr>
      </w:pPr>
      <w:r w:rsidRPr="00C9213B">
        <w:rPr>
          <w:rFonts w:ascii="Century Gothic" w:hAnsi="Century Gothic" w:cs="Arial"/>
          <w:b/>
        </w:rPr>
        <w:t xml:space="preserve">PROYECTO DE ACTO LEGISLATIVO 001 DE 2019 CÁMARA </w:t>
      </w:r>
      <w:r w:rsidR="00051AB7">
        <w:rPr>
          <w:rFonts w:ascii="Century Gothic" w:hAnsi="Century Gothic" w:cs="Arial"/>
          <w:b/>
        </w:rPr>
        <w:t>(</w:t>
      </w:r>
      <w:r w:rsidRPr="00C9213B">
        <w:rPr>
          <w:rFonts w:ascii="Century Gothic" w:hAnsi="Century Gothic" w:cs="Arial"/>
          <w:b/>
        </w:rPr>
        <w:t>ACUMULADO CON EL</w:t>
      </w:r>
      <w:r w:rsidRPr="00C9213B">
        <w:rPr>
          <w:rFonts w:ascii="Century Gothic" w:hAnsi="Century Gothic" w:cs="Arial"/>
          <w:b/>
          <w:i/>
        </w:rPr>
        <w:t xml:space="preserve"> </w:t>
      </w:r>
      <w:r w:rsidRPr="00C9213B">
        <w:rPr>
          <w:rFonts w:ascii="Century Gothic" w:hAnsi="Century Gothic" w:cs="Arial"/>
          <w:b/>
        </w:rPr>
        <w:t xml:space="preserve">PROYECTO DE ACTO LEGISLATIVO 047 </w:t>
      </w:r>
      <w:r w:rsidR="006B6762" w:rsidRPr="00C9213B">
        <w:rPr>
          <w:rFonts w:ascii="Century Gothic" w:hAnsi="Century Gothic" w:cs="Arial"/>
          <w:b/>
        </w:rPr>
        <w:t>DE 2019 CÁMARA</w:t>
      </w:r>
      <w:r w:rsidR="006B6762">
        <w:rPr>
          <w:rFonts w:ascii="Century Gothic" w:hAnsi="Century Gothic" w:cs="Arial"/>
          <w:b/>
        </w:rPr>
        <w:t>)</w:t>
      </w:r>
      <w:r w:rsidR="006B6762" w:rsidRPr="00C9213B">
        <w:rPr>
          <w:rFonts w:ascii="Century Gothic" w:hAnsi="Century Gothic" w:cs="Arial"/>
          <w:b/>
        </w:rPr>
        <w:t xml:space="preserve"> </w:t>
      </w:r>
      <w:r w:rsidR="006B6762" w:rsidRPr="006B6762">
        <w:rPr>
          <w:rFonts w:ascii="Century Gothic" w:hAnsi="Century Gothic" w:cs="Arial"/>
          <w:b/>
        </w:rPr>
        <w:t xml:space="preserve">- PROYECTO DE ACTO LEGISLATIVO </w:t>
      </w:r>
      <w:r w:rsidR="006B6762">
        <w:rPr>
          <w:rFonts w:ascii="Century Gothic" w:hAnsi="Century Gothic" w:cs="Arial"/>
          <w:b/>
        </w:rPr>
        <w:t>0</w:t>
      </w:r>
      <w:r w:rsidR="006B6762" w:rsidRPr="006B6762">
        <w:rPr>
          <w:rFonts w:ascii="Century Gothic" w:hAnsi="Century Gothic" w:cs="Arial"/>
          <w:b/>
        </w:rPr>
        <w:t>21 DE 2019 SENADO</w:t>
      </w:r>
      <w:r w:rsidR="00DA4459">
        <w:rPr>
          <w:rFonts w:ascii="Century Gothic" w:hAnsi="Century Gothic" w:cs="Arial"/>
          <w:b/>
        </w:rPr>
        <w:t xml:space="preserve"> </w:t>
      </w:r>
      <w:r w:rsidRPr="00C9213B">
        <w:rPr>
          <w:rFonts w:ascii="Century Gothic" w:hAnsi="Century Gothic" w:cs="Arial"/>
          <w:b/>
          <w:i/>
        </w:rPr>
        <w:t xml:space="preserve">“POR MEDIO DEL CUAL SE MODIFICA EL ARTÍCULO 34 DE LA CONSTITUCIÓN POLÍTICA, SUPRIMIENDO LA PROHIBICIÓN DE LA PENA DE PRISIÓN PERPETUA Y ESTABLECIENDO LA PRISIÓN PERPETUA REVISABLE” – </w:t>
      </w:r>
      <w:r w:rsidRPr="00C9213B">
        <w:rPr>
          <w:rFonts w:ascii="Century Gothic" w:hAnsi="Century Gothic" w:cs="Arial"/>
          <w:b/>
        </w:rPr>
        <w:t>EN MEMORIA DE GILMA JIMÉNEZ</w:t>
      </w:r>
      <w:r w:rsidR="002B6352">
        <w:rPr>
          <w:rFonts w:ascii="Century Gothic" w:hAnsi="Century Gothic" w:cs="Arial"/>
          <w:b/>
          <w:i/>
        </w:rPr>
        <w:t>.</w:t>
      </w:r>
    </w:p>
    <w:p w14:paraId="69E968F0" w14:textId="77777777" w:rsidR="00B50E46" w:rsidRDefault="00B50E46" w:rsidP="00B50E46">
      <w:pPr>
        <w:spacing w:line="276" w:lineRule="auto"/>
        <w:jc w:val="both"/>
        <w:rPr>
          <w:rFonts w:ascii="Century Gothic" w:eastAsiaTheme="minorHAnsi" w:hAnsi="Century Gothic" w:cs="Book Antiqua"/>
          <w:color w:val="000000"/>
          <w:lang w:val="es-CO"/>
        </w:rPr>
      </w:pPr>
    </w:p>
    <w:p w14:paraId="6CAE460E" w14:textId="102155E8" w:rsidR="00B50E46" w:rsidRDefault="001162A0" w:rsidP="00B50E46">
      <w:pPr>
        <w:spacing w:line="276" w:lineRule="auto"/>
        <w:jc w:val="both"/>
        <w:rPr>
          <w:rFonts w:ascii="Century Gothic" w:hAnsi="Century Gothic" w:cs="Arial"/>
          <w:b/>
          <w:i/>
        </w:rPr>
      </w:pPr>
      <w:r w:rsidRPr="001162A0">
        <w:rPr>
          <w:rFonts w:ascii="Century Gothic" w:eastAsiaTheme="minorHAnsi" w:hAnsi="Century Gothic" w:cs="Book Antiqua"/>
          <w:color w:val="000000"/>
          <w:lang w:val="es-CO"/>
        </w:rPr>
        <w:t xml:space="preserve">Doctor </w:t>
      </w:r>
    </w:p>
    <w:p w14:paraId="6E38DF07" w14:textId="0419CBDB" w:rsidR="001162A0" w:rsidRPr="00B50E46" w:rsidRDefault="001162A0" w:rsidP="00B50E46">
      <w:pPr>
        <w:spacing w:line="276" w:lineRule="auto"/>
        <w:jc w:val="both"/>
        <w:rPr>
          <w:rFonts w:ascii="Century Gothic" w:hAnsi="Century Gothic" w:cs="Arial"/>
          <w:b/>
          <w:i/>
        </w:rPr>
      </w:pPr>
      <w:r w:rsidRPr="001162A0">
        <w:rPr>
          <w:rFonts w:ascii="Century Gothic" w:eastAsiaTheme="minorHAnsi" w:hAnsi="Century Gothic" w:cs="Book Antiqua"/>
          <w:b/>
          <w:color w:val="000000"/>
          <w:lang w:val="es-CO"/>
        </w:rPr>
        <w:t xml:space="preserve">JUAN CARLOS LOZADA VARGAS </w:t>
      </w:r>
    </w:p>
    <w:p w14:paraId="5B7F8704" w14:textId="77777777" w:rsidR="001162A0" w:rsidRPr="0055676B" w:rsidRDefault="001162A0" w:rsidP="00B50E46">
      <w:pPr>
        <w:spacing w:line="276" w:lineRule="auto"/>
        <w:rPr>
          <w:rFonts w:ascii="Century Gothic" w:eastAsiaTheme="minorHAnsi" w:hAnsi="Century Gothic" w:cs="Book Antiqua"/>
          <w:color w:val="000000"/>
          <w:lang w:val="es-CO"/>
        </w:rPr>
      </w:pPr>
      <w:r w:rsidRPr="001162A0">
        <w:rPr>
          <w:rFonts w:ascii="Century Gothic" w:eastAsiaTheme="minorHAnsi" w:hAnsi="Century Gothic" w:cs="Book Antiqua"/>
          <w:color w:val="000000"/>
          <w:lang w:val="es-CO"/>
        </w:rPr>
        <w:t xml:space="preserve">Presidente Comisión Primera Cámara de Representantes </w:t>
      </w:r>
    </w:p>
    <w:p w14:paraId="269C379E" w14:textId="77777777" w:rsidR="001162A0" w:rsidRPr="0055676B" w:rsidRDefault="001162A0" w:rsidP="00B50E46">
      <w:pPr>
        <w:spacing w:line="276" w:lineRule="auto"/>
        <w:rPr>
          <w:rFonts w:ascii="Century Gothic" w:eastAsiaTheme="minorHAnsi" w:hAnsi="Century Gothic" w:cs="Book Antiqua"/>
          <w:color w:val="000000"/>
          <w:lang w:val="es-CO"/>
        </w:rPr>
      </w:pPr>
      <w:r w:rsidRPr="001162A0">
        <w:rPr>
          <w:rFonts w:ascii="Century Gothic" w:eastAsiaTheme="minorHAnsi" w:hAnsi="Century Gothic" w:cs="Book Antiqua"/>
          <w:color w:val="000000"/>
          <w:lang w:val="es-CO"/>
        </w:rPr>
        <w:t xml:space="preserve">Bogotá </w:t>
      </w:r>
    </w:p>
    <w:p w14:paraId="11007756" w14:textId="77777777" w:rsidR="001162A0" w:rsidRPr="0055676B" w:rsidRDefault="001162A0" w:rsidP="0055676B">
      <w:pPr>
        <w:spacing w:line="276" w:lineRule="auto"/>
        <w:rPr>
          <w:rFonts w:ascii="Century Gothic" w:eastAsiaTheme="minorHAnsi" w:hAnsi="Century Gothic" w:cs="Book Antiqua"/>
          <w:color w:val="000000"/>
          <w:lang w:val="es-CO"/>
        </w:rPr>
      </w:pPr>
    </w:p>
    <w:p w14:paraId="7D2C0D34" w14:textId="447AFF2A" w:rsidR="0055676B" w:rsidRPr="0055676B" w:rsidRDefault="001162A0" w:rsidP="0055676B">
      <w:pPr>
        <w:spacing w:line="276" w:lineRule="auto"/>
        <w:jc w:val="both"/>
        <w:rPr>
          <w:rFonts w:ascii="Century Gothic" w:hAnsi="Century Gothic" w:cs="Book Antiqua"/>
          <w:color w:val="000000"/>
          <w:lang w:val="es-CO"/>
        </w:rPr>
      </w:pPr>
      <w:r w:rsidRPr="001162A0">
        <w:rPr>
          <w:rFonts w:ascii="Century Gothic" w:eastAsiaTheme="minorHAnsi" w:hAnsi="Century Gothic" w:cs="Book Antiqua"/>
          <w:b/>
          <w:color w:val="000000"/>
          <w:lang w:val="es-CO"/>
        </w:rPr>
        <w:t>Referencia:</w:t>
      </w:r>
      <w:r w:rsidR="0055676B" w:rsidRPr="0055676B">
        <w:rPr>
          <w:rFonts w:ascii="Century Gothic" w:hAnsi="Century Gothic" w:cs="Book Antiqua"/>
          <w:color w:val="000000"/>
          <w:lang w:val="es-CO"/>
        </w:rPr>
        <w:t xml:space="preserve"> Informe de Ponencia para Primer Debate en Cámara </w:t>
      </w:r>
      <w:r w:rsidR="00F1228C" w:rsidRPr="00F1228C">
        <w:rPr>
          <w:rFonts w:ascii="Century Gothic" w:hAnsi="Century Gothic" w:cs="Book Antiqua"/>
          <w:color w:val="000000"/>
          <w:lang w:val="es-CO"/>
        </w:rPr>
        <w:t xml:space="preserve">– </w:t>
      </w:r>
      <w:r w:rsidR="0055676B" w:rsidRPr="0055676B">
        <w:rPr>
          <w:rFonts w:ascii="Century Gothic" w:hAnsi="Century Gothic" w:cs="Book Antiqua"/>
          <w:color w:val="000000"/>
          <w:lang w:val="es-CO"/>
        </w:rPr>
        <w:t xml:space="preserve">Segunda Vuelta del Proyecto de Acto Legislativo 001 </w:t>
      </w:r>
      <w:r w:rsidR="00F1228C">
        <w:rPr>
          <w:rFonts w:ascii="Century Gothic" w:hAnsi="Century Gothic" w:cs="Book Antiqua"/>
          <w:color w:val="000000"/>
          <w:lang w:val="es-CO"/>
        </w:rPr>
        <w:t>de</w:t>
      </w:r>
      <w:r w:rsidR="0055676B" w:rsidRPr="0055676B">
        <w:rPr>
          <w:rFonts w:ascii="Century Gothic" w:hAnsi="Century Gothic" w:cs="Book Antiqua"/>
          <w:color w:val="000000"/>
          <w:lang w:val="es-CO"/>
        </w:rPr>
        <w:t xml:space="preserve"> 2019 Cámara </w:t>
      </w:r>
      <w:r w:rsidR="006B6762">
        <w:rPr>
          <w:rFonts w:ascii="Century Gothic" w:hAnsi="Century Gothic" w:cs="Book Antiqua"/>
          <w:color w:val="000000"/>
          <w:lang w:val="es-CO"/>
        </w:rPr>
        <w:t>(</w:t>
      </w:r>
      <w:r w:rsidR="0055676B">
        <w:rPr>
          <w:rFonts w:ascii="Century Gothic" w:hAnsi="Century Gothic" w:cs="Book Antiqua"/>
          <w:color w:val="000000"/>
          <w:lang w:val="es-CO"/>
        </w:rPr>
        <w:t>a</w:t>
      </w:r>
      <w:r w:rsidR="0055676B" w:rsidRPr="0055676B">
        <w:rPr>
          <w:rFonts w:ascii="Century Gothic" w:hAnsi="Century Gothic" w:cs="Book Antiqua"/>
          <w:color w:val="000000"/>
          <w:lang w:val="es-CO"/>
        </w:rPr>
        <w:t xml:space="preserve">cumulado </w:t>
      </w:r>
      <w:r w:rsidR="0055676B">
        <w:rPr>
          <w:rFonts w:ascii="Century Gothic" w:hAnsi="Century Gothic" w:cs="Book Antiqua"/>
          <w:color w:val="000000"/>
          <w:lang w:val="es-CO"/>
        </w:rPr>
        <w:t>c</w:t>
      </w:r>
      <w:r w:rsidR="0055676B" w:rsidRPr="0055676B">
        <w:rPr>
          <w:rFonts w:ascii="Century Gothic" w:hAnsi="Century Gothic" w:cs="Book Antiqua"/>
          <w:color w:val="000000"/>
          <w:lang w:val="es-CO"/>
        </w:rPr>
        <w:t xml:space="preserve">on </w:t>
      </w:r>
      <w:r w:rsidR="0055676B">
        <w:rPr>
          <w:rFonts w:ascii="Century Gothic" w:hAnsi="Century Gothic" w:cs="Book Antiqua"/>
          <w:color w:val="000000"/>
          <w:lang w:val="es-CO"/>
        </w:rPr>
        <w:t>e</w:t>
      </w:r>
      <w:r w:rsidR="0055676B" w:rsidRPr="0055676B">
        <w:rPr>
          <w:rFonts w:ascii="Century Gothic" w:hAnsi="Century Gothic" w:cs="Book Antiqua"/>
          <w:color w:val="000000"/>
          <w:lang w:val="es-CO"/>
        </w:rPr>
        <w:t xml:space="preserve">l Proyecto </w:t>
      </w:r>
      <w:r w:rsidR="0055676B">
        <w:rPr>
          <w:rFonts w:ascii="Century Gothic" w:hAnsi="Century Gothic" w:cs="Book Antiqua"/>
          <w:color w:val="000000"/>
          <w:lang w:val="es-CO"/>
        </w:rPr>
        <w:t>de</w:t>
      </w:r>
      <w:r w:rsidR="0055676B" w:rsidRPr="0055676B">
        <w:rPr>
          <w:rFonts w:ascii="Century Gothic" w:hAnsi="Century Gothic" w:cs="Book Antiqua"/>
          <w:color w:val="000000"/>
          <w:lang w:val="es-CO"/>
        </w:rPr>
        <w:t xml:space="preserve"> Acto Legislativo 047 </w:t>
      </w:r>
      <w:r w:rsidR="0055676B">
        <w:rPr>
          <w:rFonts w:ascii="Century Gothic" w:hAnsi="Century Gothic" w:cs="Book Antiqua"/>
          <w:color w:val="000000"/>
          <w:lang w:val="es-CO"/>
        </w:rPr>
        <w:t>d</w:t>
      </w:r>
      <w:r w:rsidR="0055676B" w:rsidRPr="0055676B">
        <w:rPr>
          <w:rFonts w:ascii="Century Gothic" w:hAnsi="Century Gothic" w:cs="Book Antiqua"/>
          <w:color w:val="000000"/>
          <w:lang w:val="es-CO"/>
        </w:rPr>
        <w:t>e 2019 Cámara</w:t>
      </w:r>
      <w:r w:rsidR="006B6762">
        <w:rPr>
          <w:rFonts w:ascii="Century Gothic" w:hAnsi="Century Gothic" w:cs="Book Antiqua"/>
          <w:color w:val="000000"/>
          <w:lang w:val="es-CO"/>
        </w:rPr>
        <w:t>)</w:t>
      </w:r>
      <w:r w:rsidR="0055676B" w:rsidRPr="0055676B">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 </w:t>
      </w:r>
      <w:r w:rsidR="006B6762" w:rsidRPr="0055676B">
        <w:rPr>
          <w:rFonts w:ascii="Century Gothic" w:hAnsi="Century Gothic" w:cs="Book Antiqua"/>
          <w:color w:val="000000"/>
          <w:lang w:val="es-CO"/>
        </w:rPr>
        <w:t>Proyecto de Acto Legislativo</w:t>
      </w:r>
      <w:r w:rsidR="006B6762">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021 </w:t>
      </w:r>
      <w:r w:rsidR="006B6762">
        <w:rPr>
          <w:rFonts w:ascii="Century Gothic" w:hAnsi="Century Gothic" w:cs="Book Antiqua"/>
          <w:color w:val="000000"/>
          <w:lang w:val="es-CO"/>
        </w:rPr>
        <w:t>d</w:t>
      </w:r>
      <w:r w:rsidR="006B6762" w:rsidRPr="006B6762">
        <w:rPr>
          <w:rFonts w:ascii="Century Gothic" w:hAnsi="Century Gothic" w:cs="Book Antiqua"/>
          <w:color w:val="000000"/>
          <w:lang w:val="es-CO"/>
        </w:rPr>
        <w:t>e 2019 Senado</w:t>
      </w:r>
      <w:r w:rsidR="006B6762">
        <w:rPr>
          <w:rFonts w:ascii="Century Gothic" w:hAnsi="Century Gothic" w:cs="Arial"/>
          <w:b/>
        </w:rPr>
        <w:t xml:space="preserve"> </w:t>
      </w:r>
      <w:r w:rsidR="0055676B" w:rsidRPr="0055676B">
        <w:rPr>
          <w:rFonts w:ascii="Century Gothic" w:hAnsi="Century Gothic" w:cs="Book Antiqua"/>
          <w:i/>
          <w:color w:val="000000"/>
          <w:lang w:val="es-CO"/>
        </w:rPr>
        <w:t>“Por medio del cual se modifica el artículo 34 de la Constitución Política, suprimiendo la prohibición de la pena de prisión perpetua y estableciendo la prisión perpetua revisable”</w:t>
      </w:r>
      <w:r w:rsidR="0055676B" w:rsidRPr="0055676B">
        <w:rPr>
          <w:rFonts w:ascii="Century Gothic" w:hAnsi="Century Gothic" w:cs="Book Antiqua"/>
          <w:color w:val="000000"/>
          <w:lang w:val="es-CO"/>
        </w:rPr>
        <w:t xml:space="preserve"> – en memoria de Gilma Jiménez.</w:t>
      </w:r>
    </w:p>
    <w:p w14:paraId="6432571D" w14:textId="14144A08" w:rsidR="0055676B" w:rsidRPr="0055676B" w:rsidRDefault="0055676B" w:rsidP="001162A0">
      <w:pPr>
        <w:rPr>
          <w:rFonts w:ascii="Century Gothic" w:eastAsiaTheme="minorHAnsi" w:hAnsi="Century Gothic" w:cs="Book Antiqua"/>
          <w:color w:val="000000"/>
          <w:lang w:val="es-CO"/>
        </w:rPr>
      </w:pPr>
    </w:p>
    <w:p w14:paraId="19AED4B0" w14:textId="06131F2D" w:rsidR="001162A0" w:rsidRPr="001162A0" w:rsidRDefault="001162A0" w:rsidP="001162A0">
      <w:pPr>
        <w:rPr>
          <w:rFonts w:ascii="Century Gothic" w:eastAsiaTheme="minorHAnsi" w:hAnsi="Century Gothic" w:cs="Book Antiqua"/>
          <w:color w:val="000000"/>
          <w:lang w:val="es-CO"/>
        </w:rPr>
      </w:pPr>
      <w:r w:rsidRPr="001162A0">
        <w:rPr>
          <w:rFonts w:ascii="Century Gothic" w:eastAsiaTheme="minorHAnsi" w:hAnsi="Century Gothic" w:cs="Book Antiqua"/>
          <w:color w:val="000000"/>
          <w:lang w:val="es-CO"/>
        </w:rPr>
        <w:t xml:space="preserve">Respetado señor Presidente: </w:t>
      </w:r>
    </w:p>
    <w:p w14:paraId="17CEE140" w14:textId="77777777" w:rsidR="00421330" w:rsidRDefault="00421330" w:rsidP="007A5663">
      <w:pPr>
        <w:spacing w:line="276" w:lineRule="auto"/>
        <w:jc w:val="both"/>
        <w:rPr>
          <w:rFonts w:ascii="Century Gothic" w:hAnsi="Century Gothic" w:cs="Arial"/>
          <w:b/>
          <w:caps/>
        </w:rPr>
      </w:pPr>
    </w:p>
    <w:p w14:paraId="553CF3D0" w14:textId="2ADAF0FA" w:rsidR="00820E96" w:rsidRPr="00C9213B" w:rsidRDefault="007A5663" w:rsidP="007A5663">
      <w:pPr>
        <w:spacing w:line="276" w:lineRule="auto"/>
        <w:jc w:val="both"/>
        <w:rPr>
          <w:rFonts w:ascii="Century Gothic" w:hAnsi="Century Gothic" w:cs="Arial"/>
          <w:lang w:eastAsia="en-US"/>
        </w:rPr>
      </w:pPr>
      <w:r w:rsidRPr="00C9213B">
        <w:rPr>
          <w:rFonts w:ascii="Century Gothic" w:hAnsi="Century Gothic" w:cs="Book Antiqua"/>
          <w:color w:val="000000"/>
          <w:lang w:val="es-CO"/>
        </w:rPr>
        <w:t xml:space="preserve">En cumplimiento del honroso encargo impartido, por medio de la presente remitimos a su despacho, el informe de </w:t>
      </w:r>
      <w:r w:rsidRPr="002B6352">
        <w:rPr>
          <w:rFonts w:ascii="Century Gothic" w:hAnsi="Century Gothic" w:cs="Book Antiqua"/>
          <w:b/>
          <w:color w:val="000000"/>
          <w:lang w:val="es-CO"/>
        </w:rPr>
        <w:t xml:space="preserve">ponencia para </w:t>
      </w:r>
      <w:r w:rsidR="00C25481">
        <w:rPr>
          <w:rFonts w:ascii="Century Gothic" w:hAnsi="Century Gothic" w:cs="Book Antiqua"/>
          <w:b/>
          <w:color w:val="000000"/>
          <w:lang w:val="es-CO"/>
        </w:rPr>
        <w:t>primer</w:t>
      </w:r>
      <w:r w:rsidRPr="002B6352">
        <w:rPr>
          <w:rFonts w:ascii="Century Gothic" w:hAnsi="Century Gothic" w:cs="Book Antiqua"/>
          <w:b/>
          <w:color w:val="000000"/>
          <w:lang w:val="es-CO"/>
        </w:rPr>
        <w:t xml:space="preserve"> debate</w:t>
      </w:r>
      <w:r w:rsidR="00C209CD">
        <w:rPr>
          <w:rFonts w:ascii="Century Gothic" w:hAnsi="Century Gothic" w:cs="Book Antiqua"/>
          <w:b/>
          <w:color w:val="000000"/>
          <w:lang w:val="es-CO"/>
        </w:rPr>
        <w:t xml:space="preserve"> en </w:t>
      </w:r>
      <w:r w:rsidR="00C25481">
        <w:rPr>
          <w:rFonts w:ascii="Century Gothic" w:hAnsi="Century Gothic" w:cs="Book Antiqua"/>
          <w:b/>
          <w:color w:val="000000"/>
          <w:lang w:val="es-CO"/>
        </w:rPr>
        <w:t>segunda</w:t>
      </w:r>
      <w:r w:rsidR="00C209CD">
        <w:rPr>
          <w:rFonts w:ascii="Century Gothic" w:hAnsi="Century Gothic" w:cs="Book Antiqua"/>
          <w:b/>
          <w:color w:val="000000"/>
          <w:lang w:val="es-CO"/>
        </w:rPr>
        <w:t xml:space="preserve"> vuelta</w:t>
      </w:r>
      <w:r w:rsidRPr="00C9213B">
        <w:rPr>
          <w:rFonts w:ascii="Century Gothic" w:hAnsi="Century Gothic" w:cs="Book Antiqua"/>
          <w:color w:val="000000"/>
          <w:lang w:val="es-CO"/>
        </w:rPr>
        <w:t xml:space="preserve"> del </w:t>
      </w:r>
      <w:r w:rsidR="006B6762" w:rsidRPr="0055676B">
        <w:rPr>
          <w:rFonts w:ascii="Century Gothic" w:hAnsi="Century Gothic" w:cs="Book Antiqua"/>
          <w:color w:val="000000"/>
          <w:lang w:val="es-CO"/>
        </w:rPr>
        <w:t xml:space="preserve">Proyecto de Acto Legislativo 001 </w:t>
      </w:r>
      <w:r w:rsidR="006B6762">
        <w:rPr>
          <w:rFonts w:ascii="Century Gothic" w:hAnsi="Century Gothic" w:cs="Book Antiqua"/>
          <w:color w:val="000000"/>
          <w:lang w:val="es-CO"/>
        </w:rPr>
        <w:t>de</w:t>
      </w:r>
      <w:r w:rsidR="006B6762" w:rsidRPr="0055676B">
        <w:rPr>
          <w:rFonts w:ascii="Century Gothic" w:hAnsi="Century Gothic" w:cs="Book Antiqua"/>
          <w:color w:val="000000"/>
          <w:lang w:val="es-CO"/>
        </w:rPr>
        <w:t xml:space="preserve"> 2019 Cámara </w:t>
      </w:r>
      <w:r w:rsidR="006B6762">
        <w:rPr>
          <w:rFonts w:ascii="Century Gothic" w:hAnsi="Century Gothic" w:cs="Book Antiqua"/>
          <w:color w:val="000000"/>
          <w:lang w:val="es-CO"/>
        </w:rPr>
        <w:t>(a</w:t>
      </w:r>
      <w:r w:rsidR="006B6762" w:rsidRPr="0055676B">
        <w:rPr>
          <w:rFonts w:ascii="Century Gothic" w:hAnsi="Century Gothic" w:cs="Book Antiqua"/>
          <w:color w:val="000000"/>
          <w:lang w:val="es-CO"/>
        </w:rPr>
        <w:t xml:space="preserve">cumulado </w:t>
      </w:r>
      <w:r w:rsidR="006B6762">
        <w:rPr>
          <w:rFonts w:ascii="Century Gothic" w:hAnsi="Century Gothic" w:cs="Book Antiqua"/>
          <w:color w:val="000000"/>
          <w:lang w:val="es-CO"/>
        </w:rPr>
        <w:t>c</w:t>
      </w:r>
      <w:r w:rsidR="006B6762" w:rsidRPr="0055676B">
        <w:rPr>
          <w:rFonts w:ascii="Century Gothic" w:hAnsi="Century Gothic" w:cs="Book Antiqua"/>
          <w:color w:val="000000"/>
          <w:lang w:val="es-CO"/>
        </w:rPr>
        <w:t xml:space="preserve">on </w:t>
      </w:r>
      <w:r w:rsidR="006B6762">
        <w:rPr>
          <w:rFonts w:ascii="Century Gothic" w:hAnsi="Century Gothic" w:cs="Book Antiqua"/>
          <w:color w:val="000000"/>
          <w:lang w:val="es-CO"/>
        </w:rPr>
        <w:t>e</w:t>
      </w:r>
      <w:r w:rsidR="006B6762" w:rsidRPr="0055676B">
        <w:rPr>
          <w:rFonts w:ascii="Century Gothic" w:hAnsi="Century Gothic" w:cs="Book Antiqua"/>
          <w:color w:val="000000"/>
          <w:lang w:val="es-CO"/>
        </w:rPr>
        <w:t xml:space="preserve">l Proyecto </w:t>
      </w:r>
      <w:r w:rsidR="006B6762">
        <w:rPr>
          <w:rFonts w:ascii="Century Gothic" w:hAnsi="Century Gothic" w:cs="Book Antiqua"/>
          <w:color w:val="000000"/>
          <w:lang w:val="es-CO"/>
        </w:rPr>
        <w:t>de</w:t>
      </w:r>
      <w:r w:rsidR="006B6762" w:rsidRPr="0055676B">
        <w:rPr>
          <w:rFonts w:ascii="Century Gothic" w:hAnsi="Century Gothic" w:cs="Book Antiqua"/>
          <w:color w:val="000000"/>
          <w:lang w:val="es-CO"/>
        </w:rPr>
        <w:t xml:space="preserve"> Acto Legislativo 047 </w:t>
      </w:r>
      <w:r w:rsidR="006B6762">
        <w:rPr>
          <w:rFonts w:ascii="Century Gothic" w:hAnsi="Century Gothic" w:cs="Book Antiqua"/>
          <w:color w:val="000000"/>
          <w:lang w:val="es-CO"/>
        </w:rPr>
        <w:t>d</w:t>
      </w:r>
      <w:r w:rsidR="006B6762" w:rsidRPr="0055676B">
        <w:rPr>
          <w:rFonts w:ascii="Century Gothic" w:hAnsi="Century Gothic" w:cs="Book Antiqua"/>
          <w:color w:val="000000"/>
          <w:lang w:val="es-CO"/>
        </w:rPr>
        <w:t>e 2019 Cámara</w:t>
      </w:r>
      <w:r w:rsidR="006B6762">
        <w:rPr>
          <w:rFonts w:ascii="Century Gothic" w:hAnsi="Century Gothic" w:cs="Book Antiqua"/>
          <w:color w:val="000000"/>
          <w:lang w:val="es-CO"/>
        </w:rPr>
        <w:t>)</w:t>
      </w:r>
      <w:r w:rsidR="006B6762" w:rsidRPr="0055676B">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 </w:t>
      </w:r>
      <w:r w:rsidR="006B6762" w:rsidRPr="0055676B">
        <w:rPr>
          <w:rFonts w:ascii="Century Gothic" w:hAnsi="Century Gothic" w:cs="Book Antiqua"/>
          <w:color w:val="000000"/>
          <w:lang w:val="es-CO"/>
        </w:rPr>
        <w:t>Proyecto de Acto Legislativo</w:t>
      </w:r>
      <w:r w:rsidR="006B6762">
        <w:rPr>
          <w:rFonts w:ascii="Century Gothic" w:hAnsi="Century Gothic" w:cs="Book Antiqua"/>
          <w:color w:val="000000"/>
          <w:lang w:val="es-CO"/>
        </w:rPr>
        <w:t xml:space="preserve"> </w:t>
      </w:r>
      <w:r w:rsidR="006B6762" w:rsidRPr="006B6762">
        <w:rPr>
          <w:rFonts w:ascii="Century Gothic" w:hAnsi="Century Gothic" w:cs="Book Antiqua"/>
          <w:color w:val="000000"/>
          <w:lang w:val="es-CO"/>
        </w:rPr>
        <w:t xml:space="preserve">021 </w:t>
      </w:r>
      <w:r w:rsidR="006B6762">
        <w:rPr>
          <w:rFonts w:ascii="Century Gothic" w:hAnsi="Century Gothic" w:cs="Book Antiqua"/>
          <w:color w:val="000000"/>
          <w:lang w:val="es-CO"/>
        </w:rPr>
        <w:t>d</w:t>
      </w:r>
      <w:r w:rsidR="006B6762" w:rsidRPr="006B6762">
        <w:rPr>
          <w:rFonts w:ascii="Century Gothic" w:hAnsi="Century Gothic" w:cs="Book Antiqua"/>
          <w:color w:val="000000"/>
          <w:lang w:val="es-CO"/>
        </w:rPr>
        <w:t>e 2019 Senado</w:t>
      </w:r>
      <w:r w:rsidR="006B6762">
        <w:rPr>
          <w:rFonts w:ascii="Century Gothic" w:hAnsi="Century Gothic" w:cs="Arial"/>
          <w:b/>
        </w:rPr>
        <w:t xml:space="preserve"> </w:t>
      </w:r>
      <w:r w:rsidRPr="00C9213B">
        <w:rPr>
          <w:rFonts w:ascii="Century Gothic" w:hAnsi="Century Gothic" w:cs="Arial"/>
          <w:i/>
        </w:rPr>
        <w:t xml:space="preserve">“Por medio del cual se modifica el artículo 34 de la constitución política, suprimiendo la prohibición de la pena de prisión perpetua y estableciendo la prisión perpetua revisable” – </w:t>
      </w:r>
      <w:r w:rsidRPr="00C9213B">
        <w:rPr>
          <w:rFonts w:ascii="Century Gothic" w:hAnsi="Century Gothic" w:cs="Arial"/>
        </w:rPr>
        <w:t>en memoria de Gilma Jiménez,</w:t>
      </w:r>
      <w:r w:rsidRPr="00C9213B">
        <w:rPr>
          <w:rFonts w:ascii="Century Gothic" w:hAnsi="Century Gothic" w:cs="Book Antiqua"/>
          <w:color w:val="000000"/>
          <w:lang w:val="es-CO"/>
        </w:rPr>
        <w:t xml:space="preserve"> con el fin </w:t>
      </w:r>
      <w:r w:rsidR="00C9213B" w:rsidRPr="00C9213B">
        <w:rPr>
          <w:rFonts w:ascii="Century Gothic" w:hAnsi="Century Gothic" w:cs="Book Antiqua"/>
          <w:color w:val="000000"/>
          <w:lang w:val="es-CO"/>
        </w:rPr>
        <w:t xml:space="preserve">de </w:t>
      </w:r>
      <w:r w:rsidRPr="00C9213B">
        <w:rPr>
          <w:rFonts w:ascii="Century Gothic" w:hAnsi="Century Gothic" w:cs="Book Antiqua"/>
          <w:color w:val="000000"/>
          <w:lang w:val="es-CO"/>
        </w:rPr>
        <w:t>que se ponga a consideración</w:t>
      </w:r>
      <w:r w:rsidR="009F0AF3">
        <w:rPr>
          <w:rFonts w:ascii="Century Gothic" w:hAnsi="Century Gothic" w:cs="Book Antiqua"/>
          <w:color w:val="000000"/>
          <w:lang w:val="es-CO"/>
        </w:rPr>
        <w:t>,</w:t>
      </w:r>
      <w:r w:rsidRPr="00C9213B">
        <w:rPr>
          <w:rFonts w:ascii="Century Gothic" w:hAnsi="Century Gothic" w:cs="Book Antiqua"/>
          <w:color w:val="000000"/>
          <w:lang w:val="es-CO"/>
        </w:rPr>
        <w:t xml:space="preserve"> para discusión de la </w:t>
      </w:r>
      <w:r w:rsidR="00C25481">
        <w:rPr>
          <w:rFonts w:ascii="Century Gothic" w:hAnsi="Century Gothic" w:cs="Book Antiqua"/>
          <w:color w:val="000000"/>
          <w:lang w:val="es-CO"/>
        </w:rPr>
        <w:t>Comisión Primera</w:t>
      </w:r>
      <w:r w:rsidRPr="00C9213B">
        <w:rPr>
          <w:rFonts w:ascii="Century Gothic" w:hAnsi="Century Gothic" w:cs="Book Antiqua"/>
          <w:color w:val="000000"/>
          <w:lang w:val="es-CO"/>
        </w:rPr>
        <w:t xml:space="preserve"> de la Cámara de Representantes.</w:t>
      </w:r>
    </w:p>
    <w:p w14:paraId="6C60C38E" w14:textId="77777777" w:rsidR="00C9213B" w:rsidRDefault="00C9213B" w:rsidP="00C9213B">
      <w:pPr>
        <w:jc w:val="both"/>
        <w:rPr>
          <w:rFonts w:ascii="Century Gothic" w:hAnsi="Century Gothic" w:cs="Arial"/>
        </w:rPr>
      </w:pPr>
    </w:p>
    <w:p w14:paraId="422B08EC" w14:textId="4C517776" w:rsidR="00793F85" w:rsidRPr="002D6F59" w:rsidRDefault="00793F85" w:rsidP="00B17AB2">
      <w:pPr>
        <w:spacing w:after="240" w:line="276" w:lineRule="auto"/>
        <w:jc w:val="both"/>
        <w:rPr>
          <w:rFonts w:ascii="Century Gothic" w:hAnsi="Century Gothic" w:cs="Arial"/>
          <w:color w:val="000000" w:themeColor="text1"/>
        </w:rPr>
      </w:pPr>
      <w:r w:rsidRPr="002D6F59">
        <w:rPr>
          <w:rFonts w:ascii="Century Gothic" w:hAnsi="Century Gothic" w:cs="Arial"/>
        </w:rPr>
        <w:t xml:space="preserve">La </w:t>
      </w:r>
      <w:r w:rsidRPr="002D6F59">
        <w:rPr>
          <w:rFonts w:ascii="Century Gothic" w:hAnsi="Century Gothic" w:cs="Arial"/>
          <w:color w:val="000000" w:themeColor="text1"/>
        </w:rPr>
        <w:t xml:space="preserve">presente ponencia consta de las siguientes partes: </w:t>
      </w:r>
    </w:p>
    <w:p w14:paraId="08021623" w14:textId="77777777"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 xml:space="preserve">TRÁMITE </w:t>
      </w:r>
      <w:r w:rsidRPr="002D6F59">
        <w:rPr>
          <w:rFonts w:ascii="Century Gothic" w:hAnsi="Century Gothic" w:cs="Arial"/>
          <w:b/>
          <w:sz w:val="24"/>
          <w:szCs w:val="24"/>
        </w:rPr>
        <w:t>DE LA INICIATIVA</w:t>
      </w:r>
      <w:r w:rsidRPr="002D6F59">
        <w:rPr>
          <w:rFonts w:ascii="Century Gothic" w:hAnsi="Century Gothic" w:cs="Arial"/>
          <w:b/>
          <w:color w:val="000000" w:themeColor="text1"/>
          <w:sz w:val="24"/>
          <w:szCs w:val="24"/>
        </w:rPr>
        <w:t xml:space="preserve">. </w:t>
      </w:r>
    </w:p>
    <w:p w14:paraId="5317EC5E" w14:textId="77777777"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 xml:space="preserve">OBJETIVO DE LA PROPUESTA. </w:t>
      </w:r>
    </w:p>
    <w:p w14:paraId="57D3C011" w14:textId="5CF20A69" w:rsidR="00793F85" w:rsidRPr="002D6F59" w:rsidRDefault="00793F85"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lastRenderedPageBreak/>
        <w:t>ANTECEDENTES DE LA INICIATIVA.</w:t>
      </w:r>
    </w:p>
    <w:p w14:paraId="0A7245F2" w14:textId="77777777" w:rsidR="00BC121A" w:rsidRPr="002D6F59" w:rsidRDefault="00BC121A" w:rsidP="00B17AB2">
      <w:pPr>
        <w:pStyle w:val="Prrafodelista"/>
        <w:numPr>
          <w:ilvl w:val="0"/>
          <w:numId w:val="15"/>
        </w:numPr>
        <w:spacing w:after="240"/>
        <w:jc w:val="both"/>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LAS RAZONES DEL LLAMAMIENTO AL CONGRESO PARA LEGISLAR SOBRE LA MATERIA</w:t>
      </w:r>
    </w:p>
    <w:p w14:paraId="6F0062AA" w14:textId="38D4BC45" w:rsidR="00BC121A" w:rsidRPr="00C95129" w:rsidRDefault="00BC121A" w:rsidP="00B17AB2">
      <w:pPr>
        <w:pStyle w:val="Prrafodelista"/>
        <w:numPr>
          <w:ilvl w:val="0"/>
          <w:numId w:val="21"/>
        </w:numPr>
        <w:spacing w:after="240"/>
        <w:jc w:val="both"/>
        <w:rPr>
          <w:rFonts w:ascii="Century Gothic" w:hAnsi="Century Gothic" w:cs="Arial"/>
          <w:b/>
          <w:color w:val="000000" w:themeColor="text1"/>
          <w:sz w:val="24"/>
          <w:szCs w:val="24"/>
        </w:rPr>
      </w:pPr>
      <w:r w:rsidRPr="002D6F59">
        <w:rPr>
          <w:rFonts w:ascii="Century Gothic" w:hAnsi="Century Gothic" w:cs="Arial"/>
          <w:b/>
          <w:sz w:val="24"/>
          <w:szCs w:val="24"/>
        </w:rPr>
        <w:t>La cadena perpetua en la legislación comparada</w:t>
      </w:r>
      <w:r w:rsidR="00BB43CF">
        <w:rPr>
          <w:rFonts w:ascii="Century Gothic" w:hAnsi="Century Gothic" w:cs="Arial"/>
          <w:b/>
          <w:sz w:val="24"/>
          <w:szCs w:val="24"/>
        </w:rPr>
        <w:t>.</w:t>
      </w:r>
    </w:p>
    <w:p w14:paraId="0BBBFE44" w14:textId="451714C6" w:rsidR="00C95129" w:rsidRPr="00C95129" w:rsidRDefault="00C95129" w:rsidP="00C95129">
      <w:pPr>
        <w:pStyle w:val="Prrafodelista"/>
        <w:numPr>
          <w:ilvl w:val="0"/>
          <w:numId w:val="21"/>
        </w:numPr>
        <w:spacing w:after="0"/>
        <w:jc w:val="both"/>
        <w:rPr>
          <w:rFonts w:ascii="Century Gothic" w:hAnsi="Century Gothic" w:cs="Arial"/>
          <w:b/>
          <w:bCs/>
          <w:caps/>
          <w:sz w:val="24"/>
          <w:szCs w:val="24"/>
        </w:rPr>
      </w:pPr>
      <w:r w:rsidRPr="002D6F59">
        <w:rPr>
          <w:rFonts w:ascii="Century Gothic" w:hAnsi="Century Gothic" w:cs="Arial"/>
          <w:b/>
          <w:bCs/>
          <w:sz w:val="24"/>
          <w:szCs w:val="24"/>
        </w:rPr>
        <w:t>Los tratados internacionales no prohíben la pena de prisión perpetua</w:t>
      </w:r>
      <w:r w:rsidR="00BB43CF">
        <w:rPr>
          <w:rFonts w:ascii="Century Gothic" w:hAnsi="Century Gothic" w:cs="Arial"/>
          <w:b/>
          <w:bCs/>
          <w:sz w:val="24"/>
          <w:szCs w:val="24"/>
        </w:rPr>
        <w:t>.</w:t>
      </w:r>
    </w:p>
    <w:p w14:paraId="3AAEE2CA" w14:textId="54476680" w:rsidR="00BC121A" w:rsidRPr="002D6F59" w:rsidRDefault="00BC121A" w:rsidP="00B17AB2">
      <w:pPr>
        <w:pStyle w:val="Prrafodelista"/>
        <w:numPr>
          <w:ilvl w:val="0"/>
          <w:numId w:val="21"/>
        </w:numPr>
        <w:spacing w:after="240"/>
        <w:jc w:val="both"/>
        <w:rPr>
          <w:rFonts w:ascii="Century Gothic" w:hAnsi="Century Gothic" w:cs="Arial"/>
          <w:b/>
          <w:color w:val="000000" w:themeColor="text1"/>
          <w:sz w:val="24"/>
          <w:szCs w:val="24"/>
        </w:rPr>
      </w:pPr>
      <w:r w:rsidRPr="002D6F59">
        <w:rPr>
          <w:rFonts w:ascii="Century Gothic" w:hAnsi="Century Gothic" w:cs="Arial"/>
          <w:b/>
          <w:sz w:val="24"/>
          <w:szCs w:val="24"/>
        </w:rPr>
        <w:t>El aumento de los delitos que afectan la libertad, integridad y formación sexuales de los niños, niñas y adolescentes en Colombia</w:t>
      </w:r>
      <w:r w:rsidR="00BB43CF">
        <w:rPr>
          <w:rFonts w:ascii="Century Gothic" w:hAnsi="Century Gothic" w:cs="Arial"/>
          <w:b/>
          <w:sz w:val="24"/>
          <w:szCs w:val="24"/>
        </w:rPr>
        <w:t>.</w:t>
      </w:r>
    </w:p>
    <w:p w14:paraId="7912180F" w14:textId="4E3E3F81" w:rsidR="00BC121A" w:rsidRPr="002D6F59" w:rsidRDefault="00BC121A"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L</w:t>
      </w:r>
      <w:r w:rsidR="003878D4" w:rsidRPr="002D6F59">
        <w:rPr>
          <w:rFonts w:ascii="Century Gothic" w:hAnsi="Century Gothic" w:cs="Arial"/>
          <w:b/>
          <w:sz w:val="24"/>
          <w:szCs w:val="24"/>
        </w:rPr>
        <w:t>a</w:t>
      </w:r>
      <w:r w:rsidRPr="002D6F59">
        <w:rPr>
          <w:rFonts w:ascii="Century Gothic" w:hAnsi="Century Gothic" w:cs="Arial"/>
          <w:b/>
          <w:sz w:val="24"/>
          <w:szCs w:val="24"/>
        </w:rPr>
        <w:t xml:space="preserve"> prevalencia de los derechos de los niños, niñas y adolescentes en la constitución política y en los tratados internacionales</w:t>
      </w:r>
      <w:r w:rsidR="00BB43CF">
        <w:rPr>
          <w:rFonts w:ascii="Century Gothic" w:hAnsi="Century Gothic" w:cs="Arial"/>
          <w:b/>
          <w:sz w:val="24"/>
          <w:szCs w:val="24"/>
        </w:rPr>
        <w:t>.</w:t>
      </w:r>
    </w:p>
    <w:p w14:paraId="508B32C8" w14:textId="295D29EB" w:rsidR="00BC121A" w:rsidRPr="002D6F59" w:rsidRDefault="00BC121A"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Las actuales penas para los delitos que atentan contra la libertad integridad información sexual de los niños, niños y adolescentes no son proporcionales respecto de la gravedad de estas conductas.</w:t>
      </w:r>
    </w:p>
    <w:p w14:paraId="7419E2B4" w14:textId="2184D2C3" w:rsidR="00BC121A" w:rsidRPr="002D6F59" w:rsidRDefault="00BC121A"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El proyecto de acto legislativo no niega el carácter resocializador de la pena</w:t>
      </w:r>
      <w:r w:rsidR="00BB43CF">
        <w:rPr>
          <w:rFonts w:ascii="Century Gothic" w:hAnsi="Century Gothic" w:cs="Arial"/>
          <w:b/>
          <w:sz w:val="24"/>
          <w:szCs w:val="24"/>
        </w:rPr>
        <w:t>.</w:t>
      </w:r>
    </w:p>
    <w:p w14:paraId="798F4918" w14:textId="7F964CB7" w:rsidR="003878D4" w:rsidRPr="002D6F59" w:rsidRDefault="003878D4" w:rsidP="00B17AB2">
      <w:pPr>
        <w:pStyle w:val="Prrafodelista"/>
        <w:numPr>
          <w:ilvl w:val="0"/>
          <w:numId w:val="21"/>
        </w:numPr>
        <w:spacing w:after="0"/>
        <w:jc w:val="both"/>
        <w:rPr>
          <w:rFonts w:ascii="Century Gothic" w:hAnsi="Century Gothic" w:cs="Arial"/>
          <w:b/>
          <w:sz w:val="24"/>
          <w:szCs w:val="24"/>
        </w:rPr>
      </w:pPr>
      <w:r w:rsidRPr="002D6F59">
        <w:rPr>
          <w:rFonts w:ascii="Century Gothic" w:hAnsi="Century Gothic" w:cs="Arial"/>
          <w:b/>
          <w:sz w:val="24"/>
          <w:szCs w:val="24"/>
        </w:rPr>
        <w:t>La cadena perpetua no resulta una medida desproporcionalmente costosa</w:t>
      </w:r>
      <w:r w:rsidR="00BB43CF">
        <w:rPr>
          <w:rFonts w:ascii="Century Gothic" w:hAnsi="Century Gothic" w:cs="Arial"/>
          <w:b/>
          <w:sz w:val="24"/>
          <w:szCs w:val="24"/>
        </w:rPr>
        <w:t>.</w:t>
      </w:r>
    </w:p>
    <w:p w14:paraId="01CFB020" w14:textId="440A0C6E" w:rsidR="003878D4" w:rsidRPr="002D6F59" w:rsidRDefault="003878D4" w:rsidP="00B17AB2">
      <w:pPr>
        <w:pStyle w:val="Prrafodelista"/>
        <w:numPr>
          <w:ilvl w:val="0"/>
          <w:numId w:val="21"/>
        </w:numPr>
        <w:spacing w:after="0"/>
        <w:ind w:left="1077" w:hanging="357"/>
        <w:jc w:val="both"/>
        <w:rPr>
          <w:rFonts w:ascii="Century Gothic" w:hAnsi="Century Gothic" w:cs="Arial"/>
          <w:b/>
          <w:color w:val="000000" w:themeColor="text1"/>
          <w:sz w:val="24"/>
          <w:szCs w:val="24"/>
          <w:lang w:val="es-ES_tradnl"/>
        </w:rPr>
      </w:pPr>
      <w:r w:rsidRPr="002D6F59">
        <w:rPr>
          <w:rFonts w:ascii="Century Gothic" w:hAnsi="Century Gothic" w:cs="Arial"/>
          <w:b/>
          <w:sz w:val="24"/>
          <w:szCs w:val="24"/>
        </w:rPr>
        <w:t>Los delitos sexuales contra menores tienen un alto nivel de reincidencia en Colombia</w:t>
      </w:r>
      <w:r w:rsidR="00BB43CF">
        <w:rPr>
          <w:rFonts w:ascii="Century Gothic" w:hAnsi="Century Gothic" w:cs="Arial"/>
          <w:b/>
          <w:sz w:val="24"/>
          <w:szCs w:val="24"/>
        </w:rPr>
        <w:t>.</w:t>
      </w:r>
    </w:p>
    <w:p w14:paraId="7AE8FB00" w14:textId="0DE172DD" w:rsidR="00793F85" w:rsidRPr="002D6F59" w:rsidRDefault="003878D4" w:rsidP="00B17AB2">
      <w:pPr>
        <w:pStyle w:val="Prrafodelista"/>
        <w:numPr>
          <w:ilvl w:val="0"/>
          <w:numId w:val="15"/>
        </w:numPr>
        <w:spacing w:after="240"/>
        <w:jc w:val="both"/>
        <w:rPr>
          <w:rFonts w:ascii="Century Gothic" w:hAnsi="Century Gothic" w:cs="Arial"/>
          <w:b/>
          <w:sz w:val="24"/>
          <w:szCs w:val="24"/>
        </w:rPr>
      </w:pPr>
      <w:r w:rsidRPr="002D6F59">
        <w:rPr>
          <w:rFonts w:ascii="Century Gothic" w:hAnsi="Century Gothic" w:cs="Arial"/>
          <w:b/>
          <w:sz w:val="24"/>
          <w:szCs w:val="24"/>
        </w:rPr>
        <w:t>UNA MIRADA DESDE LO JURÍDICO CONSTITUCIONAL DE LA CADENA PERPETUA EXCEPCIONAL</w:t>
      </w:r>
      <w:r w:rsidR="00793F85" w:rsidRPr="002D6F59">
        <w:rPr>
          <w:rFonts w:ascii="Century Gothic" w:eastAsia="Times New Roman" w:hAnsi="Century Gothic" w:cs="Arial"/>
          <w:b/>
          <w:sz w:val="24"/>
          <w:szCs w:val="24"/>
        </w:rPr>
        <w:t>.</w:t>
      </w:r>
    </w:p>
    <w:p w14:paraId="1D004C3F" w14:textId="2BF8AAAD" w:rsidR="003878D4" w:rsidRPr="002D6F59" w:rsidRDefault="003878D4" w:rsidP="00B17AB2">
      <w:pPr>
        <w:pStyle w:val="Prrafodelista"/>
        <w:numPr>
          <w:ilvl w:val="0"/>
          <w:numId w:val="44"/>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 dimensión de la dignidad humana</w:t>
      </w:r>
      <w:r w:rsidR="00B157C0">
        <w:rPr>
          <w:rFonts w:ascii="Century Gothic" w:hAnsi="Century Gothic" w:cs="Arial"/>
          <w:b/>
          <w:sz w:val="24"/>
          <w:szCs w:val="24"/>
        </w:rPr>
        <w:t>.</w:t>
      </w:r>
    </w:p>
    <w:p w14:paraId="6751246D" w14:textId="67A95D7D" w:rsidR="003878D4" w:rsidRPr="002D6F59" w:rsidRDefault="003878D4" w:rsidP="00B17AB2">
      <w:pPr>
        <w:pStyle w:val="Prrafodelista"/>
        <w:numPr>
          <w:ilvl w:val="0"/>
          <w:numId w:val="44"/>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 competencia del constituyente secundario para reformar el artículo 34 de la Constitución.</w:t>
      </w:r>
    </w:p>
    <w:p w14:paraId="3396373F" w14:textId="736F15A1" w:rsidR="008348E9" w:rsidRPr="008348E9" w:rsidRDefault="00233C0B" w:rsidP="008348E9">
      <w:pPr>
        <w:pStyle w:val="Prrafodelista"/>
        <w:numPr>
          <w:ilvl w:val="0"/>
          <w:numId w:val="44"/>
        </w:numPr>
        <w:spacing w:after="240"/>
        <w:ind w:left="1077" w:hanging="357"/>
        <w:jc w:val="both"/>
        <w:rPr>
          <w:rFonts w:ascii="Century Gothic" w:hAnsi="Century Gothic" w:cs="Arial"/>
          <w:b/>
          <w:sz w:val="24"/>
          <w:szCs w:val="24"/>
        </w:rPr>
      </w:pPr>
      <w:r w:rsidRPr="002D6F59">
        <w:rPr>
          <w:rFonts w:ascii="Century Gothic" w:hAnsi="Century Gothic" w:cs="Arial"/>
          <w:b/>
          <w:sz w:val="24"/>
          <w:szCs w:val="24"/>
        </w:rPr>
        <w:t>Las cargas que no corresponde a los niños, niñas y adolescentes soportar frente al deber</w:t>
      </w:r>
      <w:r w:rsidRPr="0046475A">
        <w:rPr>
          <w:rFonts w:ascii="Century Gothic" w:hAnsi="Century Gothic" w:cs="Arial"/>
          <w:b/>
          <w:sz w:val="24"/>
          <w:szCs w:val="24"/>
        </w:rPr>
        <w:t xml:space="preserve"> de protección del Estado.</w:t>
      </w:r>
    </w:p>
    <w:p w14:paraId="46314242" w14:textId="5FB304EE" w:rsidR="008348E9" w:rsidRPr="008348E9" w:rsidRDefault="008348E9" w:rsidP="008348E9">
      <w:pPr>
        <w:pStyle w:val="Prrafodelista"/>
        <w:numPr>
          <w:ilvl w:val="0"/>
          <w:numId w:val="15"/>
        </w:numPr>
        <w:jc w:val="both"/>
        <w:rPr>
          <w:rFonts w:ascii="Century Gothic" w:hAnsi="Century Gothic" w:cs="Arial"/>
          <w:sz w:val="24"/>
          <w:szCs w:val="24"/>
        </w:rPr>
      </w:pPr>
      <w:r w:rsidRPr="0082060E">
        <w:rPr>
          <w:rFonts w:ascii="Century Gothic" w:hAnsi="Century Gothic" w:cs="Arial"/>
          <w:b/>
          <w:color w:val="000000" w:themeColor="text1"/>
          <w:sz w:val="24"/>
          <w:szCs w:val="24"/>
        </w:rPr>
        <w:t>PROPOSICIÓN.</w:t>
      </w:r>
    </w:p>
    <w:p w14:paraId="3E285E67" w14:textId="06206722" w:rsidR="0082060E" w:rsidRPr="008D5ED3" w:rsidRDefault="0082060E" w:rsidP="008D5ED3">
      <w:pPr>
        <w:pStyle w:val="Prrafodelista"/>
        <w:numPr>
          <w:ilvl w:val="0"/>
          <w:numId w:val="15"/>
        </w:numPr>
        <w:jc w:val="both"/>
        <w:rPr>
          <w:rFonts w:ascii="Century Gothic" w:hAnsi="Century Gothic" w:cs="Arial"/>
          <w:sz w:val="24"/>
          <w:szCs w:val="24"/>
        </w:rPr>
      </w:pPr>
      <w:r w:rsidRPr="008D5ED3">
        <w:rPr>
          <w:rFonts w:ascii="Century Gothic" w:hAnsi="Century Gothic" w:cs="Arial"/>
          <w:b/>
          <w:caps/>
          <w:sz w:val="24"/>
          <w:szCs w:val="24"/>
        </w:rPr>
        <w:t>te</w:t>
      </w:r>
      <w:r w:rsidRPr="008D5ED3">
        <w:rPr>
          <w:rFonts w:ascii="Century Gothic" w:hAnsi="Century Gothic" w:cs="Arial"/>
          <w:b/>
          <w:sz w:val="24"/>
          <w:szCs w:val="24"/>
        </w:rPr>
        <w:t xml:space="preserve">XTO PROPUESTO </w:t>
      </w:r>
      <w:r w:rsidR="00817D62" w:rsidRPr="008D5ED3">
        <w:rPr>
          <w:rFonts w:ascii="Century Gothic" w:hAnsi="Century Gothic" w:cs="Arial"/>
          <w:b/>
          <w:sz w:val="24"/>
          <w:szCs w:val="24"/>
        </w:rPr>
        <w:t xml:space="preserve">PARA </w:t>
      </w:r>
      <w:r w:rsidR="00817D62">
        <w:rPr>
          <w:rFonts w:ascii="Century Gothic" w:hAnsi="Century Gothic" w:cs="Arial"/>
          <w:b/>
          <w:sz w:val="24"/>
          <w:szCs w:val="24"/>
        </w:rPr>
        <w:t>PRIMER</w:t>
      </w:r>
      <w:r w:rsidR="00817D62" w:rsidRPr="008D5ED3">
        <w:rPr>
          <w:rFonts w:ascii="Century Gothic" w:hAnsi="Century Gothic" w:cs="Arial"/>
          <w:b/>
          <w:sz w:val="24"/>
          <w:szCs w:val="24"/>
        </w:rPr>
        <w:t xml:space="preserve"> DEBATE </w:t>
      </w:r>
      <w:r w:rsidR="00817D62" w:rsidRPr="008D5ED3">
        <w:rPr>
          <w:rFonts w:ascii="Century Gothic" w:hAnsi="Century Gothic"/>
          <w:b/>
          <w:sz w:val="24"/>
        </w:rPr>
        <w:t xml:space="preserve">EN CÁMARA – </w:t>
      </w:r>
      <w:r w:rsidR="00817D62">
        <w:rPr>
          <w:rFonts w:ascii="Century Gothic" w:hAnsi="Century Gothic"/>
          <w:b/>
          <w:sz w:val="24"/>
        </w:rPr>
        <w:t>SEGUNDA</w:t>
      </w:r>
      <w:r w:rsidR="00817D62" w:rsidRPr="008D5ED3">
        <w:rPr>
          <w:rFonts w:ascii="Century Gothic" w:hAnsi="Century Gothic"/>
          <w:b/>
          <w:sz w:val="24"/>
        </w:rPr>
        <w:t xml:space="preserve"> </w:t>
      </w:r>
      <w:r w:rsidR="008D5ED3" w:rsidRPr="008D5ED3">
        <w:rPr>
          <w:rFonts w:ascii="Century Gothic" w:hAnsi="Century Gothic"/>
          <w:b/>
          <w:sz w:val="24"/>
        </w:rPr>
        <w:t>VUELTA</w:t>
      </w:r>
      <w:r w:rsidR="008D5ED3">
        <w:rPr>
          <w:rFonts w:ascii="Century Gothic" w:hAnsi="Century Gothic"/>
          <w:b/>
          <w:sz w:val="24"/>
        </w:rPr>
        <w:t>.</w:t>
      </w:r>
    </w:p>
    <w:p w14:paraId="4A230F22" w14:textId="77777777" w:rsidR="00793F85" w:rsidRPr="002D6F59" w:rsidRDefault="00793F85" w:rsidP="00B17AB2">
      <w:pPr>
        <w:pStyle w:val="Prrafodelista"/>
        <w:spacing w:after="240"/>
        <w:ind w:left="1080"/>
        <w:jc w:val="both"/>
        <w:rPr>
          <w:rFonts w:ascii="Century Gothic" w:hAnsi="Century Gothic" w:cs="Arial"/>
          <w:b/>
          <w:color w:val="FF0000"/>
          <w:sz w:val="24"/>
          <w:szCs w:val="24"/>
        </w:rPr>
      </w:pPr>
    </w:p>
    <w:p w14:paraId="3E086557" w14:textId="77777777" w:rsidR="00793F85" w:rsidRPr="002D6F59" w:rsidRDefault="00793F85" w:rsidP="00B17AB2">
      <w:pPr>
        <w:pStyle w:val="Prrafodelista"/>
        <w:numPr>
          <w:ilvl w:val="0"/>
          <w:numId w:val="30"/>
        </w:numPr>
        <w:spacing w:after="240"/>
        <w:jc w:val="center"/>
        <w:rPr>
          <w:rFonts w:ascii="Century Gothic" w:hAnsi="Century Gothic" w:cs="Arial"/>
          <w:b/>
          <w:sz w:val="24"/>
          <w:szCs w:val="24"/>
        </w:rPr>
      </w:pPr>
      <w:r w:rsidRPr="002D6F59">
        <w:rPr>
          <w:rFonts w:ascii="Century Gothic" w:hAnsi="Century Gothic" w:cs="Arial"/>
          <w:b/>
          <w:sz w:val="24"/>
          <w:szCs w:val="24"/>
        </w:rPr>
        <w:t>TRÁMITE DE LA INICIATIVA</w:t>
      </w:r>
    </w:p>
    <w:p w14:paraId="63249A36" w14:textId="5B72F7AA" w:rsidR="00793F85" w:rsidRDefault="00793F85" w:rsidP="004A409E">
      <w:pPr>
        <w:spacing w:line="276" w:lineRule="auto"/>
        <w:jc w:val="both"/>
        <w:rPr>
          <w:rFonts w:ascii="Century Gothic" w:hAnsi="Century Gothic" w:cs="Arial"/>
        </w:rPr>
      </w:pPr>
      <w:r w:rsidRPr="002D6F59">
        <w:rPr>
          <w:rFonts w:ascii="Century Gothic" w:hAnsi="Century Gothic" w:cs="Arial"/>
        </w:rPr>
        <w:t xml:space="preserve">El Proyecto de Acto Legislativo 001 de 2019 Cámara </w:t>
      </w:r>
      <w:r w:rsidRPr="002D6F59">
        <w:rPr>
          <w:rFonts w:ascii="Century Gothic" w:hAnsi="Century Gothic" w:cs="Arial"/>
          <w:i/>
        </w:rPr>
        <w:t>“Por medio del cual se modifica el artículo 34 de la Constitución Política, suprimiendo la prohibición de la pena de prisión perpetua y estableciendo la prisión perpetua revisable</w:t>
      </w:r>
      <w:r w:rsidRPr="002D6F59">
        <w:rPr>
          <w:rFonts w:ascii="Century Gothic" w:hAnsi="Century Gothic" w:cs="Arial"/>
        </w:rPr>
        <w:t xml:space="preserve">” – En memoria de Gilma Jiménez, es de autoría de los Honorables Representantes </w:t>
      </w:r>
      <w:r w:rsidR="00D239A1">
        <w:fldChar w:fldCharType="begin"/>
      </w:r>
      <w:r w:rsidR="00D239A1">
        <w:instrText xml:space="preserve"> HYPERLINK "http://www.camara.gov.co/representantes/martha-patricia-villalba-hodwalker" </w:instrText>
      </w:r>
      <w:r w:rsidR="00D239A1">
        <w:fldChar w:fldCharType="separate"/>
      </w:r>
      <w:r w:rsidRPr="002D6F59">
        <w:rPr>
          <w:rFonts w:ascii="Century Gothic" w:hAnsi="Century Gothic" w:cs="Arial"/>
        </w:rPr>
        <w:t>Martha Patricia Villalba Hodwalker</w:t>
      </w:r>
      <w:r w:rsidR="00D239A1">
        <w:rPr>
          <w:rFonts w:ascii="Century Gothic" w:hAnsi="Century Gothic" w:cs="Arial"/>
        </w:rPr>
        <w:fldChar w:fldCharType="end"/>
      </w:r>
      <w:r w:rsidRPr="002D6F59">
        <w:rPr>
          <w:rFonts w:ascii="Century Gothic" w:hAnsi="Century Gothic" w:cs="Arial"/>
        </w:rPr>
        <w:t xml:space="preserve">, Adriana Magali Matiz Vargas, Jorge Burgos Lugo, </w:t>
      </w:r>
      <w:r w:rsidR="00D239A1">
        <w:fldChar w:fldCharType="begin"/>
      </w:r>
      <w:r w:rsidR="00D239A1">
        <w:instrText xml:space="preserve"> HYPERLINK "http://www.camara.gov.co/representantes/harry-giovanny-gonzalez-garcia" </w:instrText>
      </w:r>
      <w:r w:rsidR="00D239A1">
        <w:fldChar w:fldCharType="separate"/>
      </w:r>
      <w:r w:rsidRPr="002D6F59">
        <w:rPr>
          <w:rFonts w:ascii="Century Gothic" w:hAnsi="Century Gothic" w:cs="Arial"/>
        </w:rPr>
        <w:t>Harry Giovanny González García</w:t>
      </w:r>
      <w:r w:rsidR="00D239A1">
        <w:rPr>
          <w:rFonts w:ascii="Century Gothic" w:hAnsi="Century Gothic" w:cs="Arial"/>
        </w:rPr>
        <w:fldChar w:fldCharType="end"/>
      </w:r>
      <w:r w:rsidRPr="002D6F59">
        <w:rPr>
          <w:rFonts w:ascii="Century Gothic" w:hAnsi="Century Gothic" w:cs="Arial"/>
        </w:rPr>
        <w:t xml:space="preserve">, Cesar Augusto Lorduy Maldonado, Emeterio Montes, Norma Hurtado, entre otros, radicado </w:t>
      </w:r>
      <w:r w:rsidRPr="002D6F59">
        <w:rPr>
          <w:rFonts w:ascii="Century Gothic" w:hAnsi="Century Gothic" w:cs="Arial"/>
        </w:rPr>
        <w:lastRenderedPageBreak/>
        <w:t xml:space="preserve">ante la Secretaría General de la Cámara de Representantes el día 20 de julio de 2019 y publicado en la Gaceta del Congreso número 664 de 2019. </w:t>
      </w:r>
    </w:p>
    <w:p w14:paraId="5924D7E0" w14:textId="77777777" w:rsidR="004A409E" w:rsidRPr="002D6F59" w:rsidRDefault="004A409E" w:rsidP="004A409E">
      <w:pPr>
        <w:jc w:val="both"/>
        <w:rPr>
          <w:rFonts w:ascii="Century Gothic" w:hAnsi="Century Gothic" w:cs="Arial"/>
        </w:rPr>
      </w:pPr>
    </w:p>
    <w:p w14:paraId="0E3D0122" w14:textId="739842F8" w:rsidR="00793F85" w:rsidRDefault="00793F85" w:rsidP="004A409E">
      <w:pPr>
        <w:spacing w:line="276" w:lineRule="auto"/>
        <w:jc w:val="both"/>
        <w:rPr>
          <w:rFonts w:ascii="Century Gothic" w:hAnsi="Century Gothic" w:cs="Arial"/>
        </w:rPr>
      </w:pPr>
      <w:r w:rsidRPr="002D6F59">
        <w:rPr>
          <w:rFonts w:ascii="Century Gothic" w:hAnsi="Century Gothic" w:cs="Arial"/>
        </w:rPr>
        <w:t>El</w:t>
      </w:r>
      <w:r w:rsidRPr="002D6F59">
        <w:rPr>
          <w:rFonts w:ascii="Century Gothic" w:hAnsi="Century Gothic" w:cs="Arial"/>
          <w:i/>
        </w:rPr>
        <w:t xml:space="preserve"> </w:t>
      </w:r>
      <w:r w:rsidRPr="002D6F59">
        <w:rPr>
          <w:rFonts w:ascii="Century Gothic" w:hAnsi="Century Gothic" w:cs="Arial"/>
        </w:rPr>
        <w:t xml:space="preserve">Proyecto de Acto Legislativo 047 de 2019 Cámara </w:t>
      </w:r>
      <w:r w:rsidRPr="002D6F59">
        <w:rPr>
          <w:rFonts w:ascii="Century Gothic" w:hAnsi="Century Gothic" w:cs="Arial"/>
          <w:i/>
        </w:rPr>
        <w:t xml:space="preserve">“Por medio del cual se modifica el artículo 34 de la Constitución Política, estableciendo la prisión perpetua revisable, y se dictan otras disposiciones”, </w:t>
      </w:r>
      <w:r w:rsidRPr="002D6F59">
        <w:rPr>
          <w:rFonts w:ascii="Century Gothic" w:hAnsi="Century Gothic" w:cs="Arial"/>
        </w:rPr>
        <w:t>es de autoría de los</w:t>
      </w:r>
      <w:r w:rsidRPr="002D6F59">
        <w:rPr>
          <w:rFonts w:ascii="Century Gothic" w:hAnsi="Century Gothic" w:cs="Arial"/>
          <w:i/>
        </w:rPr>
        <w:t xml:space="preserve"> </w:t>
      </w:r>
      <w:r w:rsidRPr="002D6F59">
        <w:rPr>
          <w:rFonts w:ascii="Century Gothic" w:hAnsi="Century Gothic" w:cs="Arial"/>
        </w:rPr>
        <w:t>Honorables Representantes Héctor Vergara, Aquileo Medina, Modesto Aguilera, Jairo Cristo y los Honorables Senadores Andrés García Zuccardi, Emma Castellanos y otras firmas, radicado ante la Secretaría General de la Cámara de Representantes el día 23 de julio del año 2019 y publicado en la Gaceta del Congreso número 669 de 2019.</w:t>
      </w:r>
    </w:p>
    <w:p w14:paraId="334E2306" w14:textId="77777777" w:rsidR="004A409E" w:rsidRPr="002D6F59" w:rsidRDefault="004A409E" w:rsidP="004A409E">
      <w:pPr>
        <w:jc w:val="both"/>
        <w:rPr>
          <w:rFonts w:ascii="Century Gothic" w:hAnsi="Century Gothic" w:cs="Arial"/>
          <w:i/>
        </w:rPr>
      </w:pPr>
    </w:p>
    <w:p w14:paraId="70BCFBF6" w14:textId="2F5E09BF" w:rsidR="00C9213B" w:rsidRDefault="00793F85" w:rsidP="003B6D29">
      <w:pPr>
        <w:spacing w:line="276" w:lineRule="auto"/>
        <w:jc w:val="both"/>
        <w:rPr>
          <w:rFonts w:ascii="Century Gothic" w:hAnsi="Century Gothic" w:cs="Arial"/>
        </w:rPr>
      </w:pPr>
      <w:r w:rsidRPr="002D6F59">
        <w:rPr>
          <w:rFonts w:ascii="Century Gothic" w:hAnsi="Century Gothic" w:cs="Arial"/>
        </w:rPr>
        <w:t xml:space="preserve">El 2 de agosto de </w:t>
      </w:r>
      <w:r w:rsidR="00A62335">
        <w:rPr>
          <w:rFonts w:ascii="Century Gothic" w:hAnsi="Century Gothic" w:cs="Arial"/>
        </w:rPr>
        <w:t>2019</w:t>
      </w:r>
      <w:r w:rsidRPr="002D6F59">
        <w:rPr>
          <w:rFonts w:ascii="Century Gothic" w:hAnsi="Century Gothic" w:cs="Arial"/>
        </w:rPr>
        <w:t xml:space="preserve"> fueron recibidos en la Comisión Primera de la Cámara de Representantes</w:t>
      </w:r>
      <w:r w:rsidR="00A62335">
        <w:rPr>
          <w:rFonts w:ascii="Century Gothic" w:hAnsi="Century Gothic" w:cs="Arial"/>
        </w:rPr>
        <w:t xml:space="preserve"> l</w:t>
      </w:r>
      <w:r w:rsidRPr="002D6F59">
        <w:rPr>
          <w:rFonts w:ascii="Century Gothic" w:hAnsi="Century Gothic" w:cs="Arial"/>
        </w:rPr>
        <w:t xml:space="preserve">os Proyectos de Acto Legislativo número 001 de 2019 </w:t>
      </w:r>
      <w:r w:rsidRPr="00A62335">
        <w:rPr>
          <w:rFonts w:ascii="Century Gothic" w:hAnsi="Century Gothic" w:cs="Arial"/>
        </w:rPr>
        <w:t xml:space="preserve">Cámara </w:t>
      </w:r>
      <w:r w:rsidR="00A62335" w:rsidRPr="00A62335">
        <w:rPr>
          <w:rFonts w:ascii="Century Gothic" w:hAnsi="Century Gothic" w:cs="Arial"/>
        </w:rPr>
        <w:t>y</w:t>
      </w:r>
      <w:r w:rsidRPr="00A62335">
        <w:rPr>
          <w:rFonts w:ascii="Century Gothic" w:hAnsi="Century Gothic" w:cs="Arial"/>
        </w:rPr>
        <w:t xml:space="preserve"> el</w:t>
      </w:r>
      <w:r w:rsidRPr="002D6F59">
        <w:rPr>
          <w:rFonts w:ascii="Century Gothic" w:hAnsi="Century Gothic" w:cs="Arial"/>
        </w:rPr>
        <w:t xml:space="preserve"> Proyecto de Acto Legislativo 047 de 2019 Cámara</w:t>
      </w:r>
      <w:r w:rsidR="00A62335">
        <w:rPr>
          <w:rFonts w:ascii="Century Gothic" w:hAnsi="Century Gothic" w:cs="Arial"/>
        </w:rPr>
        <w:t xml:space="preserve">, lo cuales </w:t>
      </w:r>
      <w:r w:rsidRPr="002D6F59">
        <w:rPr>
          <w:rFonts w:ascii="Century Gothic" w:hAnsi="Century Gothic" w:cs="Arial"/>
        </w:rPr>
        <w:t>fueron acumulados mediante Oficio C.P.C.P. 3.1- 040 - 2019 el día 5 de agosto de 2019.</w:t>
      </w:r>
    </w:p>
    <w:p w14:paraId="73B6DE8E" w14:textId="7F1C529E" w:rsidR="004A409E" w:rsidRDefault="004A409E" w:rsidP="002D68BE">
      <w:pPr>
        <w:jc w:val="both"/>
        <w:rPr>
          <w:rFonts w:ascii="Century Gothic" w:hAnsi="Century Gothic" w:cs="Arial"/>
        </w:rPr>
      </w:pPr>
    </w:p>
    <w:p w14:paraId="3BA4FFB9" w14:textId="0F12B7DB" w:rsidR="00C9213B" w:rsidRDefault="003B6D29" w:rsidP="003B6D29">
      <w:pPr>
        <w:spacing w:line="276" w:lineRule="auto"/>
        <w:jc w:val="both"/>
        <w:rPr>
          <w:rFonts w:ascii="Arial Narrow" w:hAnsi="Arial Narrow"/>
          <w:sz w:val="26"/>
          <w:szCs w:val="26"/>
          <w:lang w:eastAsia="es-CO"/>
        </w:rPr>
      </w:pPr>
      <w:r w:rsidRPr="003B6D29">
        <w:rPr>
          <w:rFonts w:ascii="Century Gothic" w:hAnsi="Century Gothic" w:cs="Arial"/>
        </w:rPr>
        <w:t xml:space="preserve">Mediante comunicación del 5 de agosto de 2019 y de conformidad con el Acta 002 de la Mesa Directiva de la Comisión Primera Constitucional Permanente de la Cámara de Representantes, </w:t>
      </w:r>
      <w:r w:rsidR="00A62335">
        <w:rPr>
          <w:rFonts w:ascii="Century Gothic" w:hAnsi="Century Gothic" w:cs="Arial"/>
        </w:rPr>
        <w:t xml:space="preserve">se </w:t>
      </w:r>
      <w:r w:rsidRPr="003B6D29">
        <w:rPr>
          <w:rFonts w:ascii="Century Gothic" w:hAnsi="Century Gothic" w:cs="Arial"/>
        </w:rPr>
        <w:t>design</w:t>
      </w:r>
      <w:r>
        <w:rPr>
          <w:rFonts w:ascii="Century Gothic" w:hAnsi="Century Gothic" w:cs="Arial"/>
        </w:rPr>
        <w:t>ó</w:t>
      </w:r>
      <w:r w:rsidRPr="003B6D29">
        <w:rPr>
          <w:rFonts w:ascii="Century Gothic" w:hAnsi="Century Gothic" w:cs="Arial"/>
        </w:rPr>
        <w:t xml:space="preserve"> como ponentes a los H</w:t>
      </w:r>
      <w:r w:rsidR="00E27B34">
        <w:rPr>
          <w:rFonts w:ascii="Century Gothic" w:hAnsi="Century Gothic" w:cs="Arial"/>
        </w:rPr>
        <w:t xml:space="preserve">onorables </w:t>
      </w:r>
      <w:r w:rsidR="00E27B34" w:rsidRPr="002D6F59">
        <w:rPr>
          <w:rFonts w:ascii="Century Gothic" w:hAnsi="Century Gothic" w:cs="Arial"/>
        </w:rPr>
        <w:t>Representantes Adriana Magali Matiz Vargas, Harry Giovanny González García, Elbert Diez Lozano,</w:t>
      </w:r>
      <w:r w:rsidR="00E27B34">
        <w:rPr>
          <w:rFonts w:ascii="Century Gothic" w:hAnsi="Century Gothic" w:cs="Arial"/>
        </w:rPr>
        <w:t xml:space="preserve"> Cesar Augusto Lorduy Maldonado y</w:t>
      </w:r>
      <w:r w:rsidR="00E27B34" w:rsidRPr="002D6F59">
        <w:rPr>
          <w:rFonts w:ascii="Century Gothic" w:hAnsi="Century Gothic" w:cs="Arial"/>
        </w:rPr>
        <w:t xml:space="preserve"> José Jaime Uscategui Pastrana, </w:t>
      </w:r>
      <w:r>
        <w:rPr>
          <w:rFonts w:ascii="Century Gothic" w:hAnsi="Century Gothic" w:cs="Arial"/>
        </w:rPr>
        <w:t xml:space="preserve">quienes </w:t>
      </w:r>
      <w:r w:rsidR="00E27B34">
        <w:rPr>
          <w:rFonts w:ascii="Century Gothic" w:hAnsi="Century Gothic" w:cs="Arial"/>
        </w:rPr>
        <w:t xml:space="preserve">rindieron ponencia positiva </w:t>
      </w:r>
      <w:r w:rsidR="00E27B34" w:rsidRPr="00E27B34">
        <w:rPr>
          <w:rFonts w:ascii="Century Gothic" w:hAnsi="Century Gothic" w:cs="Arial"/>
        </w:rPr>
        <w:t>para primer debate, la cual fue publicada en la Gaceta del Congreso número 752</w:t>
      </w:r>
      <w:r w:rsidR="00E27B34">
        <w:rPr>
          <w:rFonts w:ascii="Century Gothic" w:hAnsi="Century Gothic" w:cs="Arial"/>
        </w:rPr>
        <w:t xml:space="preserve"> de 2019, mientras que </w:t>
      </w:r>
      <w:r w:rsidR="00E27B34" w:rsidRPr="00E27B34">
        <w:rPr>
          <w:rFonts w:ascii="Century Gothic" w:hAnsi="Century Gothic" w:cs="Arial"/>
        </w:rPr>
        <w:t xml:space="preserve">los </w:t>
      </w:r>
      <w:r w:rsidR="00E27B34">
        <w:rPr>
          <w:rFonts w:ascii="Century Gothic" w:hAnsi="Century Gothic" w:cs="Arial"/>
        </w:rPr>
        <w:t xml:space="preserve">Honorables </w:t>
      </w:r>
      <w:r w:rsidR="00E27B34" w:rsidRPr="002D6F59">
        <w:rPr>
          <w:rFonts w:ascii="Century Gothic" w:hAnsi="Century Gothic" w:cs="Arial"/>
        </w:rPr>
        <w:t>Representantes Carlos Germán Navas Talero</w:t>
      </w:r>
      <w:r w:rsidR="00E27B34" w:rsidRPr="00E27B34">
        <w:rPr>
          <w:rFonts w:ascii="Century Gothic" w:hAnsi="Century Gothic" w:cs="Arial"/>
        </w:rPr>
        <w:t xml:space="preserve"> </w:t>
      </w:r>
      <w:r w:rsidR="00E27B34" w:rsidRPr="002D6F59">
        <w:rPr>
          <w:rFonts w:ascii="Century Gothic" w:hAnsi="Century Gothic" w:cs="Arial"/>
        </w:rPr>
        <w:t>y Luis Alberto Albán</w:t>
      </w:r>
      <w:r w:rsidR="00E27B34">
        <w:rPr>
          <w:rFonts w:ascii="Century Gothic" w:hAnsi="Century Gothic" w:cs="Arial"/>
        </w:rPr>
        <w:t xml:space="preserve"> presentaron ponencia negativa </w:t>
      </w:r>
      <w:r w:rsidR="002B24B9">
        <w:rPr>
          <w:rFonts w:ascii="Century Gothic" w:hAnsi="Century Gothic" w:cs="Arial"/>
        </w:rPr>
        <w:t xml:space="preserve">a </w:t>
      </w:r>
      <w:r w:rsidR="00E27B34">
        <w:rPr>
          <w:rFonts w:ascii="Century Gothic" w:hAnsi="Century Gothic" w:cs="Arial"/>
        </w:rPr>
        <w:t>la reforma constitucional propuesta, publicada en la Gaceta del Congreso número 744 de 2019</w:t>
      </w:r>
      <w:r w:rsidR="00E27B34">
        <w:rPr>
          <w:rFonts w:ascii="Arial Narrow" w:hAnsi="Arial Narrow"/>
          <w:sz w:val="26"/>
          <w:szCs w:val="26"/>
          <w:lang w:eastAsia="es-CO"/>
        </w:rPr>
        <w:t>.</w:t>
      </w:r>
    </w:p>
    <w:p w14:paraId="5C2411B7" w14:textId="6EC88C6B" w:rsidR="002432D6" w:rsidRPr="003E7615" w:rsidRDefault="002432D6" w:rsidP="003E7615">
      <w:pPr>
        <w:spacing w:line="276" w:lineRule="auto"/>
        <w:jc w:val="both"/>
        <w:rPr>
          <w:rFonts w:ascii="Century Gothic" w:hAnsi="Century Gothic" w:cs="Arial"/>
        </w:rPr>
      </w:pPr>
    </w:p>
    <w:p w14:paraId="4B818E1C" w14:textId="3CE47BD5" w:rsidR="003E7615" w:rsidRPr="003E7615" w:rsidRDefault="002432D6" w:rsidP="003E7615">
      <w:pPr>
        <w:spacing w:line="276" w:lineRule="auto"/>
        <w:jc w:val="both"/>
        <w:rPr>
          <w:rFonts w:ascii="Century Gothic" w:hAnsi="Century Gothic" w:cs="Arial"/>
        </w:rPr>
      </w:pPr>
      <w:r w:rsidRPr="003E7615">
        <w:rPr>
          <w:rFonts w:ascii="Century Gothic" w:hAnsi="Century Gothic" w:cs="Arial"/>
        </w:rPr>
        <w:t>L</w:t>
      </w:r>
      <w:r w:rsidRPr="002432D6">
        <w:rPr>
          <w:rFonts w:ascii="Century Gothic" w:hAnsi="Century Gothic" w:cs="Arial"/>
        </w:rPr>
        <w:t xml:space="preserve">os días 20 y 27 de agosto de 2019 el Comité Técnico del Consejo Superior de Política Criminal, adelantó el examen </w:t>
      </w:r>
      <w:r w:rsidRPr="003E7615">
        <w:rPr>
          <w:rFonts w:ascii="Century Gothic" w:hAnsi="Century Gothic" w:cs="Arial"/>
        </w:rPr>
        <w:t>del Proyecto de Acto Legislativo 001 de 2019 Cámara (acumulado con el Proyecto de Acto Legislativo 047 de 2019 Cámara)</w:t>
      </w:r>
      <w:r w:rsidR="003E7615" w:rsidRPr="003E7615">
        <w:rPr>
          <w:rFonts w:ascii="Century Gothic" w:hAnsi="Century Gothic" w:cs="Arial"/>
        </w:rPr>
        <w:t xml:space="preserve">, llegando al consenso de emitir </w:t>
      </w:r>
      <w:r w:rsidR="003E7615" w:rsidRPr="003E7615">
        <w:rPr>
          <w:rFonts w:ascii="Century Gothic" w:hAnsi="Century Gothic" w:cs="Arial"/>
          <w:b/>
        </w:rPr>
        <w:t>concepto favorable</w:t>
      </w:r>
      <w:r w:rsidR="003E7615" w:rsidRPr="003E7615">
        <w:rPr>
          <w:rFonts w:ascii="Century Gothic" w:hAnsi="Century Gothic" w:cs="Arial"/>
        </w:rPr>
        <w:t>.</w:t>
      </w:r>
    </w:p>
    <w:p w14:paraId="1EBFD724" w14:textId="77777777" w:rsidR="002432D6" w:rsidRPr="003B6D29" w:rsidRDefault="002432D6" w:rsidP="003B6D29">
      <w:pPr>
        <w:spacing w:line="276" w:lineRule="auto"/>
        <w:jc w:val="both"/>
      </w:pPr>
    </w:p>
    <w:p w14:paraId="76A5790D" w14:textId="4B7BC430" w:rsidR="0086740C" w:rsidRDefault="003B6D29" w:rsidP="00421330">
      <w:pPr>
        <w:spacing w:line="276" w:lineRule="auto"/>
        <w:jc w:val="both"/>
        <w:rPr>
          <w:rFonts w:ascii="Century Gothic" w:hAnsi="Century Gothic" w:cs="Arial"/>
        </w:rPr>
      </w:pPr>
      <w:r w:rsidRPr="003B6D29">
        <w:rPr>
          <w:rFonts w:ascii="Century Gothic" w:hAnsi="Century Gothic" w:cs="Arial"/>
        </w:rPr>
        <w:t>En sesiones del 13 y 20 de agosto de 2019 y 17, 23 y 24 de septiembre de 2019, según consta en Actas No. 6, 7, 14, 15 y 16 de la misma fecha,</w:t>
      </w:r>
      <w:r>
        <w:rPr>
          <w:rFonts w:ascii="Century Gothic" w:hAnsi="Century Gothic" w:cs="Arial"/>
        </w:rPr>
        <w:t xml:space="preserve"> </w:t>
      </w:r>
      <w:r w:rsidRPr="003B6D29">
        <w:rPr>
          <w:rFonts w:ascii="Century Gothic" w:hAnsi="Century Gothic" w:cs="Arial"/>
        </w:rPr>
        <w:t>respectivamente, se anunció que en la próxima sesión se discutiría y votaría el Proyecto de Acto Legislativo</w:t>
      </w:r>
      <w:r w:rsidR="0086740C">
        <w:rPr>
          <w:rFonts w:ascii="Century Gothic" w:hAnsi="Century Gothic" w:cs="Arial"/>
        </w:rPr>
        <w:t xml:space="preserve">. </w:t>
      </w:r>
      <w:r w:rsidR="004E4D48">
        <w:rPr>
          <w:rFonts w:ascii="Century Gothic" w:hAnsi="Century Gothic" w:cs="Arial"/>
        </w:rPr>
        <w:t>E</w:t>
      </w:r>
      <w:r w:rsidR="00E27B34" w:rsidRPr="00E27B34">
        <w:rPr>
          <w:rFonts w:ascii="Century Gothic" w:hAnsi="Century Gothic" w:cs="Arial"/>
        </w:rPr>
        <w:t>l 30 de septiembre de 2019</w:t>
      </w:r>
      <w:r w:rsidR="004E4D48">
        <w:rPr>
          <w:rFonts w:ascii="Century Gothic" w:hAnsi="Century Gothic" w:cs="Arial"/>
        </w:rPr>
        <w:t xml:space="preserve"> fue negada la proposición de archivo </w:t>
      </w:r>
      <w:r w:rsidR="004E4D48">
        <w:rPr>
          <w:rFonts w:ascii="Century Gothic" w:hAnsi="Century Gothic" w:cs="Arial"/>
        </w:rPr>
        <w:lastRenderedPageBreak/>
        <w:t>y aprobada</w:t>
      </w:r>
      <w:r w:rsidR="002B24B9">
        <w:rPr>
          <w:rFonts w:ascii="Century Gothic" w:hAnsi="Century Gothic" w:cs="Arial"/>
        </w:rPr>
        <w:t xml:space="preserve"> por los miembros de la Comisión Primera </w:t>
      </w:r>
      <w:r w:rsidR="002B24B9" w:rsidRPr="002D6F59">
        <w:rPr>
          <w:rFonts w:ascii="Century Gothic" w:hAnsi="Century Gothic" w:cs="Arial"/>
        </w:rPr>
        <w:t>de la Cámara de Representantes</w:t>
      </w:r>
      <w:r w:rsidR="002B24B9">
        <w:rPr>
          <w:rFonts w:ascii="Century Gothic" w:hAnsi="Century Gothic" w:cs="Arial"/>
        </w:rPr>
        <w:t xml:space="preserve">, </w:t>
      </w:r>
      <w:r w:rsidR="004E4D48">
        <w:rPr>
          <w:rFonts w:ascii="Century Gothic" w:hAnsi="Century Gothic" w:cs="Arial"/>
        </w:rPr>
        <w:t>la ponencia positiva de los</w:t>
      </w:r>
      <w:r w:rsidR="004E4D48" w:rsidRPr="004A409E">
        <w:rPr>
          <w:rFonts w:ascii="Century Gothic" w:hAnsi="Century Gothic" w:cs="Arial"/>
        </w:rPr>
        <w:t xml:space="preserve"> </w:t>
      </w:r>
      <w:r w:rsidR="004E4D48" w:rsidRPr="002D6F59">
        <w:rPr>
          <w:rFonts w:ascii="Century Gothic" w:hAnsi="Century Gothic" w:cs="Arial"/>
        </w:rPr>
        <w:t>Proyectos de Acto Legislativo</w:t>
      </w:r>
      <w:r w:rsidR="004E4D48">
        <w:rPr>
          <w:rFonts w:ascii="Century Gothic" w:hAnsi="Century Gothic" w:cs="Arial"/>
        </w:rPr>
        <w:t xml:space="preserve"> acumulados</w:t>
      </w:r>
      <w:r w:rsidR="002B24B9">
        <w:rPr>
          <w:rFonts w:ascii="Century Gothic" w:hAnsi="Century Gothic" w:cs="Arial"/>
        </w:rPr>
        <w:t>,</w:t>
      </w:r>
      <w:r w:rsidR="004A409E">
        <w:rPr>
          <w:rFonts w:ascii="Century Gothic" w:hAnsi="Century Gothic" w:cs="Arial"/>
        </w:rPr>
        <w:t xml:space="preserve"> junto con una proposición de adición al parágrafo transitorio </w:t>
      </w:r>
      <w:r w:rsidR="00B34CD1">
        <w:rPr>
          <w:rFonts w:ascii="Century Gothic" w:hAnsi="Century Gothic" w:cs="Arial"/>
        </w:rPr>
        <w:t xml:space="preserve">del artículo 1°, </w:t>
      </w:r>
      <w:r w:rsidR="004A409E">
        <w:rPr>
          <w:rFonts w:ascii="Century Gothic" w:hAnsi="Century Gothic" w:cs="Arial"/>
        </w:rPr>
        <w:t xml:space="preserve">suscrita por los </w:t>
      </w:r>
      <w:r w:rsidR="00B34CD1">
        <w:rPr>
          <w:rFonts w:ascii="Century Gothic" w:hAnsi="Century Gothic" w:cs="Arial"/>
        </w:rPr>
        <w:t>Representantes Adriana Magali Matiz Vargas</w:t>
      </w:r>
      <w:r w:rsidR="00B34CD1" w:rsidRPr="002D6F59">
        <w:rPr>
          <w:rFonts w:ascii="Century Gothic" w:hAnsi="Century Gothic" w:cs="Arial"/>
        </w:rPr>
        <w:t>,</w:t>
      </w:r>
      <w:r w:rsidR="00B34CD1">
        <w:rPr>
          <w:rFonts w:ascii="Century Gothic" w:hAnsi="Century Gothic" w:cs="Arial"/>
        </w:rPr>
        <w:t xml:space="preserve"> Cesar Augusto Lorduy Maldonado y</w:t>
      </w:r>
      <w:r w:rsidR="00B34CD1" w:rsidRPr="002D6F59">
        <w:rPr>
          <w:rFonts w:ascii="Century Gothic" w:hAnsi="Century Gothic" w:cs="Arial"/>
        </w:rPr>
        <w:t xml:space="preserve"> José Jaime Uscategui Pastrana</w:t>
      </w:r>
      <w:r w:rsidR="00421330">
        <w:rPr>
          <w:rFonts w:ascii="Century Gothic" w:hAnsi="Century Gothic" w:cs="Arial"/>
        </w:rPr>
        <w:t xml:space="preserve">, </w:t>
      </w:r>
      <w:r w:rsidR="00421330" w:rsidRPr="0086740C">
        <w:rPr>
          <w:rFonts w:ascii="Century Gothic" w:hAnsi="Century Gothic" w:cs="Arial"/>
        </w:rPr>
        <w:t xml:space="preserve">según consta en </w:t>
      </w:r>
      <w:r w:rsidR="00421330" w:rsidRPr="00421330">
        <w:rPr>
          <w:rFonts w:ascii="Century Gothic" w:hAnsi="Century Gothic" w:cs="Arial"/>
        </w:rPr>
        <w:t>Acta No.17</w:t>
      </w:r>
      <w:r w:rsidR="00421330">
        <w:rPr>
          <w:rFonts w:ascii="Century Gothic" w:hAnsi="Century Gothic" w:cs="Arial"/>
        </w:rPr>
        <w:t xml:space="preserve"> de </w:t>
      </w:r>
      <w:r w:rsidR="00421330" w:rsidRPr="00421330">
        <w:rPr>
          <w:rFonts w:ascii="Century Gothic" w:hAnsi="Century Gothic" w:cs="Arial"/>
        </w:rPr>
        <w:t>Septiembre 30 de 2019</w:t>
      </w:r>
      <w:r w:rsidR="0086740C">
        <w:rPr>
          <w:rFonts w:ascii="Century Gothic" w:hAnsi="Century Gothic" w:cs="Arial"/>
        </w:rPr>
        <w:t xml:space="preserve"> (</w:t>
      </w:r>
      <w:r w:rsidR="0086740C" w:rsidRPr="0086740C">
        <w:rPr>
          <w:rFonts w:ascii="Century Gothic" w:hAnsi="Century Gothic" w:cs="Arial"/>
        </w:rPr>
        <w:t>Gaceta del Congreso N. 1004 del 8 de octubre de 2019).</w:t>
      </w:r>
    </w:p>
    <w:p w14:paraId="02558C93" w14:textId="26FE8280" w:rsidR="00793D30" w:rsidRPr="00793D30" w:rsidRDefault="00793D30" w:rsidP="00793D30">
      <w:pPr>
        <w:spacing w:line="276" w:lineRule="auto"/>
        <w:jc w:val="both"/>
        <w:rPr>
          <w:rFonts w:ascii="Century Gothic" w:eastAsiaTheme="minorHAnsi" w:hAnsi="Century Gothic" w:cs="Arial"/>
          <w:lang w:val="es-ES_tradnl"/>
        </w:rPr>
      </w:pPr>
    </w:p>
    <w:p w14:paraId="28DF5DEE" w14:textId="4ADA86DD" w:rsidR="00793D30" w:rsidRPr="00793D30" w:rsidRDefault="00793D30" w:rsidP="00FD5779">
      <w:pPr>
        <w:spacing w:line="276" w:lineRule="auto"/>
        <w:jc w:val="both"/>
      </w:pPr>
      <w:r w:rsidRPr="00793D30">
        <w:rPr>
          <w:rFonts w:ascii="Century Gothic" w:eastAsiaTheme="minorHAnsi" w:hAnsi="Century Gothic" w:cs="Arial"/>
          <w:lang w:val="es-ES_tradnl"/>
        </w:rPr>
        <w:t xml:space="preserve">El 8 de octubre de 2019, fue radicada la ponencia para segundo debate mayoritaria suscrita por los Honorables Representantes Adriana Magali Matiz, Cesar Augusto </w:t>
      </w:r>
      <w:proofErr w:type="spellStart"/>
      <w:r w:rsidRPr="00793D30">
        <w:rPr>
          <w:rFonts w:ascii="Century Gothic" w:eastAsiaTheme="minorHAnsi" w:hAnsi="Century Gothic" w:cs="Arial"/>
          <w:lang w:val="es-ES_tradnl"/>
        </w:rPr>
        <w:t>Lorduy</w:t>
      </w:r>
      <w:proofErr w:type="spellEnd"/>
      <w:r w:rsidRPr="00793D30">
        <w:rPr>
          <w:rFonts w:ascii="Century Gothic" w:eastAsiaTheme="minorHAnsi" w:hAnsi="Century Gothic" w:cs="Arial"/>
          <w:lang w:val="es-ES_tradnl"/>
        </w:rPr>
        <w:t xml:space="preserve">, José Jaime </w:t>
      </w:r>
      <w:proofErr w:type="spellStart"/>
      <w:r w:rsidRPr="00793D30">
        <w:rPr>
          <w:rFonts w:ascii="Century Gothic" w:eastAsiaTheme="minorHAnsi" w:hAnsi="Century Gothic" w:cs="Arial"/>
          <w:lang w:val="es-ES_tradnl"/>
        </w:rPr>
        <w:t>Uscátegui</w:t>
      </w:r>
      <w:proofErr w:type="spellEnd"/>
      <w:r w:rsidRPr="00793D30">
        <w:rPr>
          <w:rFonts w:ascii="Century Gothic" w:eastAsiaTheme="minorHAnsi" w:hAnsi="Century Gothic" w:cs="Arial"/>
          <w:lang w:val="es-ES_tradnl"/>
        </w:rPr>
        <w:t xml:space="preserve"> y </w:t>
      </w:r>
      <w:proofErr w:type="spellStart"/>
      <w:r w:rsidRPr="00793D30">
        <w:rPr>
          <w:rFonts w:ascii="Century Gothic" w:eastAsiaTheme="minorHAnsi" w:hAnsi="Century Gothic" w:cs="Arial"/>
          <w:lang w:val="es-ES_tradnl"/>
        </w:rPr>
        <w:t>Élbert</w:t>
      </w:r>
      <w:proofErr w:type="spellEnd"/>
      <w:r w:rsidRPr="00793D30">
        <w:rPr>
          <w:rFonts w:ascii="Century Gothic" w:eastAsiaTheme="minorHAnsi" w:hAnsi="Century Gothic" w:cs="Arial"/>
          <w:lang w:val="es-ES_tradnl"/>
        </w:rPr>
        <w:t xml:space="preserve"> Díaz, la cual fue publicada en la Gaceta del Congreso número 1004 de 2019. Así mismo</w:t>
      </w:r>
      <w:r w:rsidR="00A62335">
        <w:rPr>
          <w:rFonts w:ascii="Century Gothic" w:eastAsiaTheme="minorHAnsi" w:hAnsi="Century Gothic" w:cs="Arial"/>
          <w:lang w:val="es-ES_tradnl"/>
        </w:rPr>
        <w:t>,</w:t>
      </w:r>
      <w:r w:rsidRPr="00793D30">
        <w:rPr>
          <w:rFonts w:ascii="Century Gothic" w:eastAsiaTheme="minorHAnsi" w:hAnsi="Century Gothic" w:cs="Arial"/>
          <w:lang w:val="es-ES_tradnl"/>
        </w:rPr>
        <w:t xml:space="preserve"> los Honorables Representantes Germán Navas Talero y Luis Alberto Albán radicaron </w:t>
      </w:r>
      <w:r w:rsidR="00FD5779" w:rsidRPr="00FD5779">
        <w:rPr>
          <w:rFonts w:ascii="Century Gothic" w:eastAsiaTheme="minorHAnsi" w:hAnsi="Century Gothic" w:cs="Arial"/>
          <w:lang w:val="es-ES_tradnl"/>
        </w:rPr>
        <w:t xml:space="preserve">el 11 de octubre de 2019 </w:t>
      </w:r>
      <w:r w:rsidRPr="00793D30">
        <w:rPr>
          <w:rFonts w:ascii="Century Gothic" w:eastAsiaTheme="minorHAnsi" w:hAnsi="Century Gothic" w:cs="Arial"/>
          <w:lang w:val="es-ES_tradnl"/>
        </w:rPr>
        <w:t xml:space="preserve">ponencia de archivo publicada en la Gaceta del Congreso número 1038 de 2019. </w:t>
      </w:r>
    </w:p>
    <w:p w14:paraId="0CE12A98" w14:textId="77777777" w:rsidR="00793D30" w:rsidRPr="00793D30" w:rsidRDefault="00793D30" w:rsidP="00793D30">
      <w:pPr>
        <w:spacing w:line="276" w:lineRule="auto"/>
        <w:jc w:val="both"/>
        <w:rPr>
          <w:rFonts w:ascii="Century Gothic" w:eastAsiaTheme="minorHAnsi" w:hAnsi="Century Gothic" w:cs="Arial"/>
          <w:lang w:val="es-ES_tradnl"/>
        </w:rPr>
      </w:pPr>
    </w:p>
    <w:p w14:paraId="49BA2028" w14:textId="451C1FD3" w:rsidR="00C43982" w:rsidRDefault="00793D30" w:rsidP="00793D30">
      <w:pPr>
        <w:spacing w:line="276" w:lineRule="auto"/>
        <w:jc w:val="both"/>
        <w:rPr>
          <w:rFonts w:ascii="Century Gothic" w:eastAsiaTheme="minorHAnsi" w:hAnsi="Century Gothic" w:cs="Arial"/>
          <w:lang w:val="es-ES_tradnl"/>
        </w:rPr>
      </w:pPr>
      <w:r w:rsidRPr="00793D30">
        <w:rPr>
          <w:rFonts w:ascii="Century Gothic" w:eastAsiaTheme="minorHAnsi" w:hAnsi="Century Gothic" w:cs="Arial"/>
          <w:lang w:val="es-ES_tradnl"/>
        </w:rPr>
        <w:t xml:space="preserve">El Proyecto de Acto Legislativo 001 de 2019 Cámara acumulado con el Proyecto de Acto Legislativo 047 de 2019 Cámara fue aprobado en segundo debate en la Plenaria de la Cámara de Representantes el 15 de octubre de 2019, </w:t>
      </w:r>
      <w:r w:rsidR="00A62335">
        <w:rPr>
          <w:rFonts w:ascii="Century Gothic" w:eastAsiaTheme="minorHAnsi" w:hAnsi="Century Gothic" w:cs="Arial"/>
          <w:lang w:val="es-ES_tradnl"/>
        </w:rPr>
        <w:t>junto</w:t>
      </w:r>
      <w:r w:rsidRPr="00793D30">
        <w:rPr>
          <w:rFonts w:ascii="Century Gothic" w:eastAsiaTheme="minorHAnsi" w:hAnsi="Century Gothic" w:cs="Arial"/>
          <w:lang w:val="es-ES_tradnl"/>
        </w:rPr>
        <w:t xml:space="preserve"> con una proposición avalada al artículo 1°</w:t>
      </w:r>
      <w:r w:rsidR="00C43982">
        <w:rPr>
          <w:rFonts w:ascii="Century Gothic" w:eastAsiaTheme="minorHAnsi" w:hAnsi="Century Gothic" w:cs="Arial"/>
          <w:lang w:val="es-ES_tradnl"/>
        </w:rPr>
        <w:t xml:space="preserve">, </w:t>
      </w:r>
      <w:r w:rsidR="00C43982" w:rsidRPr="00C43982">
        <w:rPr>
          <w:rFonts w:ascii="Century Gothic" w:eastAsiaTheme="minorHAnsi" w:hAnsi="Century Gothic" w:cs="Arial"/>
          <w:lang w:val="es-ES_tradnl"/>
        </w:rPr>
        <w:t>tal como consta en el acta 092 del 15 de octubre de 2019, previo anuncio en sesión plenaria del día 8 de octubre de 2019, según consta en Acta número 91 de la misma fecha</w:t>
      </w:r>
      <w:r w:rsidR="00C43982">
        <w:rPr>
          <w:rFonts w:ascii="Century Gothic" w:eastAsiaTheme="minorHAnsi" w:hAnsi="Century Gothic" w:cs="Arial"/>
          <w:lang w:val="es-ES_tradnl"/>
        </w:rPr>
        <w:t xml:space="preserve">. </w:t>
      </w:r>
      <w:r w:rsidRPr="00793D30">
        <w:rPr>
          <w:rFonts w:ascii="Century Gothic" w:eastAsiaTheme="minorHAnsi" w:hAnsi="Century Gothic" w:cs="Arial"/>
          <w:lang w:val="es-ES_tradnl"/>
        </w:rPr>
        <w:t xml:space="preserve">El texto definitivo aprobado por esta corporación se encuentra publicado en la Gaceta del Congreso número 1084 de 2019. </w:t>
      </w:r>
    </w:p>
    <w:p w14:paraId="22413E03" w14:textId="3BF4BCE7" w:rsidR="00A1472B" w:rsidRDefault="00A1472B" w:rsidP="00A1472B">
      <w:pPr>
        <w:spacing w:line="276" w:lineRule="auto"/>
        <w:jc w:val="both"/>
        <w:rPr>
          <w:rFonts w:ascii="Century Gothic" w:eastAsiaTheme="minorHAnsi" w:hAnsi="Century Gothic" w:cs="Arial"/>
          <w:lang w:val="es-ES_tradnl"/>
        </w:rPr>
      </w:pPr>
    </w:p>
    <w:p w14:paraId="610F4272" w14:textId="0BC3CBF3" w:rsidR="00A1472B" w:rsidRPr="00A1472B" w:rsidRDefault="00A1472B" w:rsidP="00A1472B">
      <w:pPr>
        <w:shd w:val="clear" w:color="auto" w:fill="FFFFFF"/>
        <w:spacing w:line="276" w:lineRule="auto"/>
        <w:jc w:val="both"/>
        <w:rPr>
          <w:rFonts w:ascii="Century Gothic" w:eastAsiaTheme="minorHAnsi" w:hAnsi="Century Gothic" w:cs="Arial"/>
          <w:lang w:val="es-ES_tradnl"/>
        </w:rPr>
      </w:pPr>
      <w:r w:rsidRPr="00A1472B">
        <w:rPr>
          <w:rFonts w:ascii="Century Gothic" w:eastAsiaTheme="minorHAnsi" w:hAnsi="Century Gothic" w:cs="Arial"/>
          <w:lang w:val="es-ES_tradnl"/>
        </w:rPr>
        <w:t xml:space="preserve">Con oficio de fecha 30 de octubre de 2019, el Secretario General de la Cámara de Representantes </w:t>
      </w:r>
      <w:r w:rsidR="006E6D3E" w:rsidRPr="00A1472B">
        <w:rPr>
          <w:rFonts w:ascii="Century Gothic" w:eastAsiaTheme="minorHAnsi" w:hAnsi="Century Gothic" w:cs="Arial"/>
          <w:lang w:val="es-ES_tradnl"/>
        </w:rPr>
        <w:t>remit</w:t>
      </w:r>
      <w:r w:rsidR="006E6D3E">
        <w:rPr>
          <w:rFonts w:ascii="Century Gothic" w:eastAsiaTheme="minorHAnsi" w:hAnsi="Century Gothic" w:cs="Arial"/>
          <w:lang w:val="es-ES_tradnl"/>
        </w:rPr>
        <w:t>ió</w:t>
      </w:r>
      <w:r w:rsidRPr="00A1472B">
        <w:rPr>
          <w:rFonts w:ascii="Century Gothic" w:eastAsiaTheme="minorHAnsi" w:hAnsi="Century Gothic" w:cs="Arial"/>
          <w:lang w:val="es-ES_tradnl"/>
        </w:rPr>
        <w:t xml:space="preserve"> al señor presidente del Senado de la República el expediente del </w:t>
      </w:r>
      <w:r w:rsidR="00EC2BD8" w:rsidRPr="00A81DE6">
        <w:rPr>
          <w:rFonts w:ascii="Century Gothic" w:eastAsiaTheme="minorHAnsi" w:hAnsi="Century Gothic" w:cs="Arial"/>
          <w:lang w:val="es-ES_tradnl"/>
        </w:rPr>
        <w:t>Proyecto de Acto Legislativo 21 de 2019 Senado, 001 de 2019 Cámara acumulado con el Proyecto de Acto Legislativo 047 de 2019 Cámara</w:t>
      </w:r>
      <w:r w:rsidRPr="00A1472B">
        <w:rPr>
          <w:rFonts w:ascii="Century Gothic" w:eastAsiaTheme="minorHAnsi" w:hAnsi="Century Gothic" w:cs="Arial"/>
          <w:lang w:val="es-ES_tradnl"/>
        </w:rPr>
        <w:t xml:space="preserve">, el cual fue </w:t>
      </w:r>
      <w:r w:rsidR="002D68BE" w:rsidRPr="00A1472B">
        <w:rPr>
          <w:rFonts w:ascii="Century Gothic" w:eastAsiaTheme="minorHAnsi" w:hAnsi="Century Gothic" w:cs="Arial"/>
          <w:lang w:val="es-ES_tradnl"/>
        </w:rPr>
        <w:t>recibido</w:t>
      </w:r>
      <w:r w:rsidRPr="00A1472B">
        <w:rPr>
          <w:rFonts w:ascii="Century Gothic" w:eastAsiaTheme="minorHAnsi" w:hAnsi="Century Gothic" w:cs="Arial"/>
          <w:lang w:val="es-ES_tradnl"/>
        </w:rPr>
        <w:t xml:space="preserve"> el 31 de octubre de 2019 por la Secretaría de la Comisión Primera del Senado de la República.</w:t>
      </w:r>
    </w:p>
    <w:p w14:paraId="1C22C27F" w14:textId="77777777" w:rsidR="00152761" w:rsidRDefault="00152761" w:rsidP="001A0FF3">
      <w:pPr>
        <w:spacing w:line="276" w:lineRule="auto"/>
        <w:jc w:val="both"/>
        <w:rPr>
          <w:rFonts w:ascii="Century Gothic" w:eastAsiaTheme="minorHAnsi" w:hAnsi="Century Gothic" w:cs="Arial"/>
          <w:lang w:val="es-ES_tradnl"/>
        </w:rPr>
      </w:pPr>
    </w:p>
    <w:p w14:paraId="128AF4DC" w14:textId="1479128B" w:rsidR="001A0FF3" w:rsidRPr="001A0FF3" w:rsidRDefault="001A0FF3" w:rsidP="001A0FF3">
      <w:pPr>
        <w:spacing w:line="276" w:lineRule="auto"/>
        <w:jc w:val="both"/>
        <w:rPr>
          <w:rFonts w:ascii="Century Gothic" w:eastAsiaTheme="minorHAnsi" w:hAnsi="Century Gothic" w:cs="Arial"/>
          <w:lang w:val="es-ES_tradnl"/>
        </w:rPr>
      </w:pPr>
      <w:r w:rsidRPr="001A0FF3">
        <w:rPr>
          <w:rFonts w:ascii="Century Gothic" w:eastAsiaTheme="minorHAnsi" w:hAnsi="Century Gothic" w:cs="Arial"/>
          <w:lang w:val="es-ES_tradnl"/>
        </w:rPr>
        <w:t>La Mesa Directiva de la Comisión Primera del Senado de la República de conformidad con el Acta MD-10 del 6 de noviembre de 2019</w:t>
      </w:r>
      <w:r w:rsidR="006E6D3E">
        <w:rPr>
          <w:rFonts w:ascii="Century Gothic" w:eastAsiaTheme="minorHAnsi" w:hAnsi="Century Gothic" w:cs="Arial"/>
          <w:lang w:val="es-ES_tradnl"/>
        </w:rPr>
        <w:t>,</w:t>
      </w:r>
      <w:r w:rsidRPr="001A0FF3">
        <w:rPr>
          <w:rFonts w:ascii="Century Gothic" w:eastAsiaTheme="minorHAnsi" w:hAnsi="Century Gothic" w:cs="Arial"/>
          <w:lang w:val="es-ES_tradnl"/>
        </w:rPr>
        <w:t xml:space="preserve"> designó como ponentes para primer debate a los senadores Miguel Ángel Pinto Hernández, </w:t>
      </w:r>
      <w:proofErr w:type="spellStart"/>
      <w:r w:rsidRPr="001A0FF3">
        <w:rPr>
          <w:rFonts w:ascii="Century Gothic" w:eastAsiaTheme="minorHAnsi" w:hAnsi="Century Gothic" w:cs="Arial"/>
          <w:lang w:val="es-ES_tradnl"/>
        </w:rPr>
        <w:t>Roosvelt</w:t>
      </w:r>
      <w:proofErr w:type="spellEnd"/>
      <w:r w:rsidRPr="001A0FF3">
        <w:rPr>
          <w:rFonts w:ascii="Century Gothic" w:eastAsiaTheme="minorHAnsi" w:hAnsi="Century Gothic" w:cs="Arial"/>
          <w:lang w:val="es-ES_tradnl"/>
        </w:rPr>
        <w:t xml:space="preserve"> Rodríguez Rengifo, Esperanza Andrade de </w:t>
      </w:r>
      <w:proofErr w:type="spellStart"/>
      <w:r w:rsidRPr="001A0FF3">
        <w:rPr>
          <w:rFonts w:ascii="Century Gothic" w:eastAsiaTheme="minorHAnsi" w:hAnsi="Century Gothic" w:cs="Arial"/>
          <w:lang w:val="es-ES_tradnl"/>
        </w:rPr>
        <w:t>Osso</w:t>
      </w:r>
      <w:proofErr w:type="spellEnd"/>
      <w:r w:rsidRPr="001A0FF3">
        <w:rPr>
          <w:rFonts w:ascii="Century Gothic" w:eastAsiaTheme="minorHAnsi" w:hAnsi="Century Gothic" w:cs="Arial"/>
          <w:lang w:val="es-ES_tradnl"/>
        </w:rPr>
        <w:t xml:space="preserve">, María Fernanda Cabal Malina, Carlos Guevara </w:t>
      </w:r>
      <w:proofErr w:type="spellStart"/>
      <w:r w:rsidRPr="001A0FF3">
        <w:rPr>
          <w:rFonts w:ascii="Century Gothic" w:eastAsiaTheme="minorHAnsi" w:hAnsi="Century Gothic" w:cs="Arial"/>
          <w:lang w:val="es-ES_tradnl"/>
        </w:rPr>
        <w:t>Villabón</w:t>
      </w:r>
      <w:proofErr w:type="spellEnd"/>
      <w:r w:rsidRPr="001A0FF3">
        <w:rPr>
          <w:rFonts w:ascii="Century Gothic" w:eastAsiaTheme="minorHAnsi" w:hAnsi="Century Gothic" w:cs="Arial"/>
          <w:lang w:val="es-ES_tradnl"/>
        </w:rPr>
        <w:t xml:space="preserve">, Germán Varón </w:t>
      </w:r>
      <w:proofErr w:type="spellStart"/>
      <w:r w:rsidRPr="001A0FF3">
        <w:rPr>
          <w:rFonts w:ascii="Century Gothic" w:eastAsiaTheme="minorHAnsi" w:hAnsi="Century Gothic" w:cs="Arial"/>
          <w:lang w:val="es-ES_tradnl"/>
        </w:rPr>
        <w:t>Cotrino</w:t>
      </w:r>
      <w:proofErr w:type="spellEnd"/>
      <w:r w:rsidRPr="001A0FF3">
        <w:rPr>
          <w:rFonts w:ascii="Century Gothic" w:eastAsiaTheme="minorHAnsi" w:hAnsi="Century Gothic" w:cs="Arial"/>
          <w:lang w:val="es-ES_tradnl"/>
        </w:rPr>
        <w:t xml:space="preserve">, Alexander </w:t>
      </w:r>
      <w:r w:rsidRPr="001A0FF3">
        <w:rPr>
          <w:rFonts w:ascii="Century Gothic" w:eastAsiaTheme="minorHAnsi" w:hAnsi="Century Gothic" w:cs="Arial"/>
          <w:lang w:val="es-ES_tradnl"/>
        </w:rPr>
        <w:lastRenderedPageBreak/>
        <w:t xml:space="preserve">López Maya, Angélica Lozano Correa, Gustavo </w:t>
      </w:r>
      <w:proofErr w:type="spellStart"/>
      <w:r w:rsidRPr="001A0FF3">
        <w:rPr>
          <w:rFonts w:ascii="Century Gothic" w:eastAsiaTheme="minorHAnsi" w:hAnsi="Century Gothic" w:cs="Arial"/>
          <w:lang w:val="es-ES_tradnl"/>
        </w:rPr>
        <w:t>Petr</w:t>
      </w:r>
      <w:r w:rsidR="006E6D3E">
        <w:rPr>
          <w:rFonts w:ascii="Century Gothic" w:eastAsiaTheme="minorHAnsi" w:hAnsi="Century Gothic" w:cs="Arial"/>
          <w:lang w:val="es-ES_tradnl"/>
        </w:rPr>
        <w:t>o</w:t>
      </w:r>
      <w:proofErr w:type="spellEnd"/>
      <w:r w:rsidRPr="001A0FF3">
        <w:rPr>
          <w:rFonts w:ascii="Century Gothic" w:eastAsiaTheme="minorHAnsi" w:hAnsi="Century Gothic" w:cs="Arial"/>
          <w:lang w:val="es-ES_tradnl"/>
        </w:rPr>
        <w:t xml:space="preserve"> Urrego y Julián Gallo Cubillos. Posteriormente se reemplaza como ponente a la representante Angélica Lozano Correa por el representante Iván </w:t>
      </w:r>
      <w:proofErr w:type="spellStart"/>
      <w:r w:rsidRPr="001A0FF3">
        <w:rPr>
          <w:rFonts w:ascii="Century Gothic" w:eastAsiaTheme="minorHAnsi" w:hAnsi="Century Gothic" w:cs="Arial"/>
          <w:lang w:val="es-ES_tradnl"/>
        </w:rPr>
        <w:t>Name</w:t>
      </w:r>
      <w:proofErr w:type="spellEnd"/>
      <w:r w:rsidRPr="001A0FF3">
        <w:rPr>
          <w:rFonts w:ascii="Century Gothic" w:eastAsiaTheme="minorHAnsi" w:hAnsi="Century Gothic" w:cs="Arial"/>
          <w:lang w:val="es-ES_tradnl"/>
        </w:rPr>
        <w:t>.</w:t>
      </w:r>
    </w:p>
    <w:p w14:paraId="376C3E8D" w14:textId="4EA86869" w:rsidR="00416B65" w:rsidRDefault="00416B65" w:rsidP="006E6D3E">
      <w:pPr>
        <w:jc w:val="both"/>
        <w:rPr>
          <w:rFonts w:ascii="Century Gothic" w:hAnsi="Century Gothic" w:cs="Arial"/>
        </w:rPr>
      </w:pPr>
    </w:p>
    <w:p w14:paraId="12161C01" w14:textId="44C4FD44" w:rsidR="00416B65" w:rsidRDefault="00A81DE6" w:rsidP="005277C7">
      <w:pPr>
        <w:spacing w:line="276" w:lineRule="auto"/>
        <w:jc w:val="both"/>
        <w:rPr>
          <w:rFonts w:ascii="Century Gothic" w:eastAsiaTheme="minorHAnsi" w:hAnsi="Century Gothic" w:cs="Arial"/>
          <w:lang w:val="es-ES_tradnl"/>
        </w:rPr>
      </w:pPr>
      <w:r>
        <w:rPr>
          <w:rFonts w:ascii="Century Gothic" w:hAnsi="Century Gothic" w:cs="Arial"/>
        </w:rPr>
        <w:t>El</w:t>
      </w:r>
      <w:r w:rsidR="00416B65" w:rsidRPr="00416B65">
        <w:rPr>
          <w:rFonts w:ascii="Century Gothic" w:eastAsiaTheme="minorHAnsi" w:hAnsi="Century Gothic" w:cs="Arial"/>
          <w:lang w:val="es-ES_tradnl"/>
        </w:rPr>
        <w:t xml:space="preserve"> </w:t>
      </w:r>
      <w:r w:rsidR="00641AF7" w:rsidRPr="005277C7">
        <w:rPr>
          <w:rFonts w:ascii="Century Gothic" w:eastAsiaTheme="minorHAnsi" w:hAnsi="Century Gothic" w:cs="Arial"/>
          <w:lang w:val="es-ES_tradnl"/>
        </w:rPr>
        <w:t>18</w:t>
      </w:r>
      <w:r w:rsidR="00416B65" w:rsidRPr="00416B65">
        <w:rPr>
          <w:rFonts w:ascii="Century Gothic" w:eastAsiaTheme="minorHAnsi" w:hAnsi="Century Gothic" w:cs="Arial"/>
          <w:lang w:val="es-ES_tradnl"/>
        </w:rPr>
        <w:t xml:space="preserve"> de </w:t>
      </w:r>
      <w:r w:rsidR="00641AF7" w:rsidRPr="005277C7">
        <w:rPr>
          <w:rFonts w:ascii="Century Gothic" w:eastAsiaTheme="minorHAnsi" w:hAnsi="Century Gothic" w:cs="Arial"/>
          <w:lang w:val="es-ES_tradnl"/>
        </w:rPr>
        <w:t>noviembre</w:t>
      </w:r>
      <w:r w:rsidR="00416B65" w:rsidRPr="00416B65">
        <w:rPr>
          <w:rFonts w:ascii="Century Gothic" w:eastAsiaTheme="minorHAnsi" w:hAnsi="Century Gothic" w:cs="Arial"/>
          <w:lang w:val="es-ES_tradnl"/>
        </w:rPr>
        <w:t xml:space="preserve"> de 2019, </w:t>
      </w:r>
      <w:r w:rsidR="00641AF7" w:rsidRPr="005277C7">
        <w:rPr>
          <w:rFonts w:ascii="Century Gothic" w:eastAsiaTheme="minorHAnsi" w:hAnsi="Century Gothic" w:cs="Arial"/>
          <w:lang w:val="es-ES_tradnl"/>
        </w:rPr>
        <w:t xml:space="preserve">los </w:t>
      </w:r>
      <w:r w:rsidR="002D68BE" w:rsidRPr="005277C7">
        <w:rPr>
          <w:rFonts w:ascii="Century Gothic" w:eastAsiaTheme="minorHAnsi" w:hAnsi="Century Gothic" w:cs="Arial"/>
          <w:lang w:val="es-ES_tradnl"/>
        </w:rPr>
        <w:t>coordinadores</w:t>
      </w:r>
      <w:r w:rsidR="00641AF7" w:rsidRPr="005277C7">
        <w:rPr>
          <w:rFonts w:ascii="Century Gothic" w:eastAsiaTheme="minorHAnsi" w:hAnsi="Century Gothic" w:cs="Arial"/>
          <w:lang w:val="es-ES_tradnl"/>
        </w:rPr>
        <w:t xml:space="preserve"> </w:t>
      </w:r>
      <w:r w:rsidR="00416B65" w:rsidRPr="00416B65">
        <w:rPr>
          <w:rFonts w:ascii="Century Gothic" w:eastAsiaTheme="minorHAnsi" w:hAnsi="Century Gothic" w:cs="Arial"/>
          <w:lang w:val="es-ES_tradnl"/>
        </w:rPr>
        <w:t xml:space="preserve">ponentes </w:t>
      </w:r>
      <w:r w:rsidR="005277C7" w:rsidRPr="00416B65">
        <w:rPr>
          <w:rFonts w:ascii="Century Gothic" w:eastAsiaTheme="minorHAnsi" w:hAnsi="Century Gothic" w:cs="Arial"/>
          <w:lang w:val="es-ES_tradnl"/>
        </w:rPr>
        <w:t xml:space="preserve">honorables Senadores </w:t>
      </w:r>
      <w:r w:rsidR="005277C7" w:rsidRPr="005277C7">
        <w:rPr>
          <w:rFonts w:ascii="Century Gothic" w:eastAsiaTheme="minorHAnsi" w:hAnsi="Century Gothic" w:cs="Arial"/>
          <w:lang w:val="es-ES_tradnl"/>
        </w:rPr>
        <w:t xml:space="preserve">Miguel </w:t>
      </w:r>
      <w:r w:rsidR="002D68BE" w:rsidRPr="005277C7">
        <w:rPr>
          <w:rFonts w:ascii="Century Gothic" w:eastAsiaTheme="minorHAnsi" w:hAnsi="Century Gothic" w:cs="Arial"/>
          <w:lang w:val="es-ES_tradnl"/>
        </w:rPr>
        <w:t>Ángel</w:t>
      </w:r>
      <w:r w:rsidR="005277C7" w:rsidRPr="005277C7">
        <w:rPr>
          <w:rFonts w:ascii="Century Gothic" w:eastAsiaTheme="minorHAnsi" w:hAnsi="Century Gothic" w:cs="Arial"/>
          <w:lang w:val="es-ES_tradnl"/>
        </w:rPr>
        <w:t xml:space="preserve"> Pinto y </w:t>
      </w:r>
      <w:proofErr w:type="spellStart"/>
      <w:r w:rsidR="005277C7" w:rsidRPr="005277C7">
        <w:rPr>
          <w:rFonts w:ascii="Century Gothic" w:eastAsiaTheme="minorHAnsi" w:hAnsi="Century Gothic" w:cs="Arial"/>
          <w:lang w:val="es-ES_tradnl"/>
        </w:rPr>
        <w:t>Rooselt</w:t>
      </w:r>
      <w:proofErr w:type="spellEnd"/>
      <w:r w:rsidR="005277C7" w:rsidRPr="005277C7">
        <w:rPr>
          <w:rFonts w:ascii="Century Gothic" w:eastAsiaTheme="minorHAnsi" w:hAnsi="Century Gothic" w:cs="Arial"/>
          <w:lang w:val="es-ES_tradnl"/>
        </w:rPr>
        <w:t xml:space="preserve"> </w:t>
      </w:r>
      <w:r w:rsidR="002D68BE" w:rsidRPr="005277C7">
        <w:rPr>
          <w:rFonts w:ascii="Century Gothic" w:eastAsiaTheme="minorHAnsi" w:hAnsi="Century Gothic" w:cs="Arial"/>
          <w:lang w:val="es-ES_tradnl"/>
        </w:rPr>
        <w:t>Rodríguez</w:t>
      </w:r>
      <w:r w:rsidR="005277C7" w:rsidRPr="005277C7">
        <w:rPr>
          <w:rFonts w:ascii="Century Gothic" w:eastAsiaTheme="minorHAnsi" w:hAnsi="Century Gothic" w:cs="Arial"/>
          <w:lang w:val="es-ES_tradnl"/>
        </w:rPr>
        <w:t xml:space="preserve">, </w:t>
      </w:r>
      <w:r w:rsidR="00416B65" w:rsidRPr="00416B65">
        <w:rPr>
          <w:rFonts w:ascii="Century Gothic" w:eastAsiaTheme="minorHAnsi" w:hAnsi="Century Gothic" w:cs="Arial"/>
          <w:lang w:val="es-ES_tradnl"/>
        </w:rPr>
        <w:t>presentaron ponencia conjunta positiva al proyecto de acto legislativo</w:t>
      </w:r>
      <w:r w:rsidR="005277C7" w:rsidRPr="000041C8">
        <w:rPr>
          <w:rFonts w:ascii="Century Gothic" w:eastAsiaTheme="minorHAnsi" w:hAnsi="Century Gothic" w:cs="Arial"/>
          <w:lang w:val="es-ES_tradnl"/>
        </w:rPr>
        <w:t xml:space="preserve">, la cual </w:t>
      </w:r>
      <w:r w:rsidR="00416B65" w:rsidRPr="00416B65">
        <w:rPr>
          <w:rFonts w:ascii="Century Gothic" w:eastAsiaTheme="minorHAnsi" w:hAnsi="Century Gothic" w:cs="Arial"/>
          <w:lang w:val="es-ES_tradnl"/>
        </w:rPr>
        <w:t xml:space="preserve">fue publicada en la Gaceta del Congreso número </w:t>
      </w:r>
      <w:r w:rsidR="005277C7" w:rsidRPr="000041C8">
        <w:rPr>
          <w:rFonts w:ascii="Century Gothic" w:eastAsiaTheme="minorHAnsi" w:hAnsi="Century Gothic" w:cs="Arial"/>
          <w:lang w:val="es-ES_tradnl"/>
        </w:rPr>
        <w:t>1164</w:t>
      </w:r>
      <w:r w:rsidR="00416B65" w:rsidRPr="00416B65">
        <w:rPr>
          <w:rFonts w:ascii="Century Gothic" w:eastAsiaTheme="minorHAnsi" w:hAnsi="Century Gothic" w:cs="Arial"/>
          <w:lang w:val="es-ES_tradnl"/>
        </w:rPr>
        <w:t xml:space="preserve"> de 2019</w:t>
      </w:r>
      <w:r w:rsidR="000041C8">
        <w:rPr>
          <w:rFonts w:ascii="Century Gothic" w:eastAsiaTheme="minorHAnsi" w:hAnsi="Century Gothic" w:cs="Arial"/>
          <w:lang w:val="es-ES_tradnl"/>
        </w:rPr>
        <w:t>. En el marco del debate de</w:t>
      </w:r>
      <w:r w:rsidR="000041C8" w:rsidRPr="000041C8">
        <w:rPr>
          <w:rFonts w:ascii="Century Gothic" w:eastAsiaTheme="minorHAnsi" w:hAnsi="Century Gothic" w:cs="Arial"/>
          <w:lang w:val="es-ES_tradnl"/>
        </w:rPr>
        <w:t xml:space="preserve"> la sesión del día 26 de noviembre de 2019</w:t>
      </w:r>
      <w:r w:rsidR="000041C8">
        <w:rPr>
          <w:rFonts w:ascii="Century Gothic" w:eastAsiaTheme="minorHAnsi" w:hAnsi="Century Gothic" w:cs="Arial"/>
          <w:lang w:val="es-ES_tradnl"/>
        </w:rPr>
        <w:t xml:space="preserve"> (</w:t>
      </w:r>
      <w:r w:rsidR="000041C8" w:rsidRPr="000041C8">
        <w:rPr>
          <w:rFonts w:ascii="Century Gothic" w:eastAsiaTheme="minorHAnsi" w:hAnsi="Century Gothic" w:cs="Arial"/>
          <w:lang w:val="es-ES_tradnl"/>
        </w:rPr>
        <w:t>Acta número 22</w:t>
      </w:r>
      <w:r w:rsidR="000041C8">
        <w:rPr>
          <w:rFonts w:ascii="Century Gothic" w:eastAsiaTheme="minorHAnsi" w:hAnsi="Century Gothic" w:cs="Arial"/>
          <w:lang w:val="es-ES_tradnl"/>
        </w:rPr>
        <w:t xml:space="preserve">), los honorables Senadores de la </w:t>
      </w:r>
      <w:r w:rsidR="000041C8" w:rsidRPr="00A81DE6">
        <w:rPr>
          <w:rFonts w:ascii="Century Gothic" w:eastAsiaTheme="minorHAnsi" w:hAnsi="Century Gothic" w:cs="Arial"/>
          <w:lang w:val="es-ES_tradnl"/>
        </w:rPr>
        <w:t>Comisión Primera</w:t>
      </w:r>
      <w:r w:rsidR="000041C8">
        <w:rPr>
          <w:rFonts w:ascii="Century Gothic" w:eastAsiaTheme="minorHAnsi" w:hAnsi="Century Gothic" w:cs="Arial"/>
          <w:lang w:val="es-ES_tradnl"/>
        </w:rPr>
        <w:t xml:space="preserve">, decidieron acoger el texto aprobado por la </w:t>
      </w:r>
      <w:r w:rsidR="00A80F5A">
        <w:rPr>
          <w:rFonts w:ascii="Century Gothic" w:eastAsiaTheme="minorHAnsi" w:hAnsi="Century Gothic" w:cs="Arial"/>
          <w:lang w:val="es-ES_tradnl"/>
        </w:rPr>
        <w:t>P</w:t>
      </w:r>
      <w:r w:rsidR="000041C8">
        <w:rPr>
          <w:rFonts w:ascii="Century Gothic" w:eastAsiaTheme="minorHAnsi" w:hAnsi="Century Gothic" w:cs="Arial"/>
          <w:lang w:val="es-ES_tradnl"/>
        </w:rPr>
        <w:t xml:space="preserve">lenaria de la Cámara de Representes. </w:t>
      </w:r>
    </w:p>
    <w:p w14:paraId="0194BAF3" w14:textId="77777777" w:rsidR="006E6D3E" w:rsidRPr="00972ED7" w:rsidRDefault="006E6D3E" w:rsidP="006E6D3E">
      <w:pPr>
        <w:jc w:val="both"/>
        <w:rPr>
          <w:rFonts w:ascii="Century Gothic" w:eastAsiaTheme="minorHAnsi" w:hAnsi="Century Gothic" w:cs="Arial"/>
          <w:lang w:val="es-ES_tradnl"/>
        </w:rPr>
      </w:pPr>
    </w:p>
    <w:p w14:paraId="311C96CB" w14:textId="5BF749EA" w:rsidR="00171430" w:rsidRDefault="00793D30" w:rsidP="00B117E2">
      <w:pPr>
        <w:spacing w:line="276" w:lineRule="auto"/>
        <w:jc w:val="both"/>
      </w:pPr>
      <w:r w:rsidRPr="00793D30">
        <w:rPr>
          <w:rFonts w:ascii="Century Gothic" w:eastAsiaTheme="minorHAnsi" w:hAnsi="Century Gothic" w:cs="Arial"/>
          <w:lang w:val="es-ES_tradnl"/>
        </w:rPr>
        <w:t xml:space="preserve">El </w:t>
      </w:r>
      <w:r w:rsidR="00417401" w:rsidRPr="00417401">
        <w:rPr>
          <w:rFonts w:ascii="Century Gothic" w:eastAsiaTheme="minorHAnsi" w:hAnsi="Century Gothic" w:cs="Arial"/>
          <w:lang w:val="es-ES_tradnl"/>
        </w:rPr>
        <w:t>2</w:t>
      </w:r>
      <w:r w:rsidRPr="00793D30">
        <w:rPr>
          <w:rFonts w:ascii="Century Gothic" w:eastAsiaTheme="minorHAnsi" w:hAnsi="Century Gothic" w:cs="Arial"/>
          <w:lang w:val="es-ES_tradnl"/>
        </w:rPr>
        <w:t xml:space="preserve"> de </w:t>
      </w:r>
      <w:r w:rsidR="00417401" w:rsidRPr="00417401">
        <w:rPr>
          <w:rFonts w:ascii="Century Gothic" w:eastAsiaTheme="minorHAnsi" w:hAnsi="Century Gothic" w:cs="Arial"/>
          <w:lang w:val="es-ES_tradnl"/>
        </w:rPr>
        <w:t>diciembre</w:t>
      </w:r>
      <w:r w:rsidRPr="00793D30">
        <w:rPr>
          <w:rFonts w:ascii="Century Gothic" w:eastAsiaTheme="minorHAnsi" w:hAnsi="Century Gothic" w:cs="Arial"/>
          <w:lang w:val="es-ES_tradnl"/>
        </w:rPr>
        <w:t xml:space="preserve"> de 2019 se radicó ponencia para segundo debate</w:t>
      </w:r>
      <w:r w:rsidR="00972ED7">
        <w:rPr>
          <w:rFonts w:ascii="Century Gothic" w:eastAsiaTheme="minorHAnsi" w:hAnsi="Century Gothic" w:cs="Arial"/>
          <w:lang w:val="es-ES_tradnl"/>
        </w:rPr>
        <w:t xml:space="preserve"> en</w:t>
      </w:r>
      <w:r w:rsidRPr="00793D30">
        <w:rPr>
          <w:rFonts w:ascii="Century Gothic" w:eastAsiaTheme="minorHAnsi" w:hAnsi="Century Gothic" w:cs="Arial"/>
          <w:lang w:val="es-ES_tradnl"/>
        </w:rPr>
        <w:t xml:space="preserve"> </w:t>
      </w:r>
      <w:r w:rsidR="00972ED7" w:rsidRPr="00972ED7">
        <w:rPr>
          <w:rFonts w:ascii="Century Gothic" w:eastAsiaTheme="minorHAnsi" w:hAnsi="Century Gothic" w:cs="Arial"/>
          <w:lang w:val="es-ES_tradnl"/>
        </w:rPr>
        <w:t>la Secretaría de la Comisión Primera Constitucional Permanente</w:t>
      </w:r>
      <w:r w:rsidRPr="00793D30">
        <w:rPr>
          <w:rFonts w:ascii="Century Gothic" w:eastAsiaTheme="minorHAnsi" w:hAnsi="Century Gothic" w:cs="Arial"/>
          <w:lang w:val="es-ES_tradnl"/>
        </w:rPr>
        <w:t>,</w:t>
      </w:r>
      <w:r w:rsidR="00972ED7">
        <w:rPr>
          <w:rFonts w:ascii="Century Gothic" w:eastAsiaTheme="minorHAnsi" w:hAnsi="Century Gothic" w:cs="Arial"/>
          <w:lang w:val="es-ES_tradnl"/>
        </w:rPr>
        <w:t xml:space="preserve"> </w:t>
      </w:r>
      <w:r w:rsidR="00972ED7" w:rsidRPr="00972ED7">
        <w:rPr>
          <w:rFonts w:ascii="Century Gothic" w:eastAsiaTheme="minorHAnsi" w:hAnsi="Century Gothic" w:cs="Arial"/>
          <w:lang w:val="es-ES_tradnl"/>
        </w:rPr>
        <w:t xml:space="preserve">suscrita por los senadores Miguel Ángel Pinto Hernández y </w:t>
      </w:r>
      <w:proofErr w:type="spellStart"/>
      <w:r w:rsidR="00972ED7" w:rsidRPr="00972ED7">
        <w:rPr>
          <w:rFonts w:ascii="Century Gothic" w:eastAsiaTheme="minorHAnsi" w:hAnsi="Century Gothic" w:cs="Arial"/>
          <w:lang w:val="es-ES_tradnl"/>
        </w:rPr>
        <w:t>Roosvelt</w:t>
      </w:r>
      <w:proofErr w:type="spellEnd"/>
      <w:r w:rsidR="00972ED7" w:rsidRPr="00972ED7">
        <w:rPr>
          <w:rFonts w:ascii="Century Gothic" w:eastAsiaTheme="minorHAnsi" w:hAnsi="Century Gothic" w:cs="Arial"/>
          <w:lang w:val="es-ES_tradnl"/>
        </w:rPr>
        <w:t xml:space="preserve"> Rodríguez Rengifo</w:t>
      </w:r>
      <w:r w:rsidRPr="00793D30">
        <w:rPr>
          <w:rFonts w:ascii="Century Gothic" w:eastAsiaTheme="minorHAnsi" w:hAnsi="Century Gothic" w:cs="Arial"/>
          <w:lang w:val="es-ES_tradnl"/>
        </w:rPr>
        <w:t xml:space="preserve"> la cual fue publicada en la Gaceta del Congreso número </w:t>
      </w:r>
      <w:r w:rsidR="00417401" w:rsidRPr="00417401">
        <w:rPr>
          <w:rFonts w:ascii="Century Gothic" w:eastAsiaTheme="minorHAnsi" w:hAnsi="Century Gothic" w:cs="Arial"/>
          <w:lang w:val="es-ES_tradnl"/>
        </w:rPr>
        <w:t>1173</w:t>
      </w:r>
      <w:r w:rsidRPr="00793D30">
        <w:rPr>
          <w:rFonts w:ascii="Century Gothic" w:eastAsiaTheme="minorHAnsi" w:hAnsi="Century Gothic" w:cs="Arial"/>
          <w:lang w:val="es-ES_tradnl"/>
        </w:rPr>
        <w:t xml:space="preserve"> de 2019</w:t>
      </w:r>
      <w:r w:rsidR="00972ED7">
        <w:rPr>
          <w:rFonts w:ascii="Century Gothic" w:eastAsiaTheme="minorHAnsi" w:hAnsi="Century Gothic" w:cs="Arial"/>
          <w:lang w:val="es-ES_tradnl"/>
        </w:rPr>
        <w:t xml:space="preserve">. El </w:t>
      </w:r>
      <w:r w:rsidRPr="00793D30">
        <w:rPr>
          <w:rFonts w:ascii="Century Gothic" w:eastAsiaTheme="minorHAnsi" w:hAnsi="Century Gothic" w:cs="Arial"/>
          <w:lang w:val="es-ES_tradnl"/>
        </w:rPr>
        <w:t xml:space="preserve">proyecto de acto legislativo fue aprobado en Segundo Debate el </w:t>
      </w:r>
      <w:r w:rsidR="00417401">
        <w:rPr>
          <w:rFonts w:ascii="Century Gothic" w:eastAsiaTheme="minorHAnsi" w:hAnsi="Century Gothic" w:cs="Arial"/>
          <w:lang w:val="es-ES_tradnl"/>
        </w:rPr>
        <w:t>11</w:t>
      </w:r>
      <w:r w:rsidRPr="00793D30">
        <w:rPr>
          <w:rFonts w:ascii="Century Gothic" w:eastAsiaTheme="minorHAnsi" w:hAnsi="Century Gothic" w:cs="Arial"/>
          <w:lang w:val="es-ES_tradnl"/>
        </w:rPr>
        <w:t xml:space="preserve"> de </w:t>
      </w:r>
      <w:r w:rsidR="006E6D3E">
        <w:rPr>
          <w:rFonts w:ascii="Century Gothic" w:eastAsiaTheme="minorHAnsi" w:hAnsi="Century Gothic" w:cs="Arial"/>
          <w:lang w:val="es-ES_tradnl"/>
        </w:rPr>
        <w:t>diciembre</w:t>
      </w:r>
      <w:r w:rsidRPr="00793D30">
        <w:rPr>
          <w:rFonts w:ascii="Century Gothic" w:eastAsiaTheme="minorHAnsi" w:hAnsi="Century Gothic" w:cs="Arial"/>
          <w:lang w:val="es-ES_tradnl"/>
        </w:rPr>
        <w:t xml:space="preserve"> de 2019</w:t>
      </w:r>
      <w:r w:rsidR="00B117E2">
        <w:rPr>
          <w:rFonts w:ascii="Century Gothic" w:eastAsiaTheme="minorHAnsi" w:hAnsi="Century Gothic" w:cs="Arial"/>
          <w:lang w:val="es-ES_tradnl"/>
        </w:rPr>
        <w:t xml:space="preserve">, </w:t>
      </w:r>
      <w:r w:rsidR="00171430" w:rsidRPr="00B117E2">
        <w:rPr>
          <w:rFonts w:ascii="Century Gothic" w:eastAsiaTheme="minorHAnsi" w:hAnsi="Century Gothic" w:cs="Arial"/>
          <w:lang w:val="es-ES_tradnl"/>
        </w:rPr>
        <w:t>según consta en el acta número 33 del 11 de diciembre de 2019, previo su anuncio en sesión del 10 de diciembre de 2019 correspondiente al Acta número 32 de la misma fecha y publicado en la Gaceta del Congreso 1231 del 17 de diciembre de 2019.</w:t>
      </w:r>
    </w:p>
    <w:p w14:paraId="0413BE87" w14:textId="382444D4" w:rsidR="00171430" w:rsidRPr="00273378" w:rsidRDefault="00171430" w:rsidP="00542732">
      <w:pPr>
        <w:jc w:val="both"/>
        <w:rPr>
          <w:rFonts w:ascii="Century Gothic" w:eastAsiaTheme="minorHAnsi" w:hAnsi="Century Gothic" w:cs="Arial"/>
          <w:lang w:val="es-ES_tradnl"/>
        </w:rPr>
      </w:pPr>
    </w:p>
    <w:p w14:paraId="61FB2C4C" w14:textId="143075FF" w:rsidR="00273378" w:rsidRPr="0055676B" w:rsidRDefault="00273378" w:rsidP="002C328F">
      <w:pPr>
        <w:spacing w:line="276" w:lineRule="auto"/>
        <w:jc w:val="both"/>
        <w:rPr>
          <w:rFonts w:ascii="Century Gothic" w:hAnsi="Century Gothic" w:cs="Book Antiqua"/>
          <w:color w:val="000000"/>
          <w:lang w:val="es-CO"/>
        </w:rPr>
      </w:pPr>
      <w:r w:rsidRPr="00273378">
        <w:rPr>
          <w:rFonts w:ascii="Century Gothic" w:eastAsiaTheme="minorHAnsi" w:hAnsi="Century Gothic" w:cs="Arial"/>
          <w:lang w:val="es-ES_tradnl"/>
        </w:rPr>
        <w:t xml:space="preserve">El Congreso de la República mediante comunicación del 18 de febrero de 2020, radicada </w:t>
      </w:r>
      <w:r w:rsidR="00731FB7">
        <w:rPr>
          <w:rFonts w:ascii="Century Gothic" w:eastAsiaTheme="minorHAnsi" w:hAnsi="Century Gothic" w:cs="Arial"/>
          <w:lang w:val="es-ES_tradnl"/>
        </w:rPr>
        <w:t>en esa misma fecha</w:t>
      </w:r>
      <w:r w:rsidRPr="00273378">
        <w:rPr>
          <w:rFonts w:ascii="Century Gothic" w:eastAsiaTheme="minorHAnsi" w:hAnsi="Century Gothic" w:cs="Arial"/>
          <w:lang w:val="es-ES_tradnl"/>
        </w:rPr>
        <w:t xml:space="preserve"> en la Presidencia de la República, remitió para el trámite pertinente </w:t>
      </w:r>
      <w:r w:rsidR="00731FB7">
        <w:rPr>
          <w:rFonts w:ascii="Century Gothic" w:eastAsiaTheme="minorHAnsi" w:hAnsi="Century Gothic" w:cs="Arial"/>
          <w:lang w:val="es-ES_tradnl"/>
        </w:rPr>
        <w:t xml:space="preserve">el </w:t>
      </w:r>
      <w:r w:rsidRPr="00273378">
        <w:rPr>
          <w:rFonts w:ascii="Century Gothic" w:eastAsiaTheme="minorHAnsi" w:hAnsi="Century Gothic" w:cs="Arial"/>
          <w:lang w:val="es-ES_tradnl"/>
        </w:rPr>
        <w:t xml:space="preserve">Proyecto de Acto Legislativo 21 de 2019 Senado - 001 de 2019 Cámara, acumulado con el proyecto de Acto Legislativo No. 047 de 2019 Cámara </w:t>
      </w:r>
      <w:r w:rsidRPr="0055676B">
        <w:rPr>
          <w:rFonts w:ascii="Century Gothic" w:hAnsi="Century Gothic" w:cs="Book Antiqua"/>
          <w:i/>
          <w:color w:val="000000"/>
          <w:lang w:val="es-CO"/>
        </w:rPr>
        <w:t>“Por medio del cual se modifica el artículo 34 de la Constitución Política, suprimiendo la prohibición de la pena de prisión perpetua y estableciendo la prisión perpetua revisable”</w:t>
      </w:r>
      <w:r w:rsidRPr="0055676B">
        <w:rPr>
          <w:rFonts w:ascii="Century Gothic" w:hAnsi="Century Gothic" w:cs="Book Antiqua"/>
          <w:color w:val="000000"/>
          <w:lang w:val="es-CO"/>
        </w:rPr>
        <w:t xml:space="preserve"> – en memoria de Gilma Jiménez.</w:t>
      </w:r>
    </w:p>
    <w:p w14:paraId="62713901" w14:textId="6C3FADCB" w:rsidR="00273378" w:rsidRDefault="00273378" w:rsidP="00972ED7">
      <w:pPr>
        <w:spacing w:line="276" w:lineRule="auto"/>
        <w:jc w:val="both"/>
      </w:pPr>
    </w:p>
    <w:p w14:paraId="1116BE75" w14:textId="580E1ED5" w:rsidR="00731FB7" w:rsidRDefault="002C328F" w:rsidP="00731FB7">
      <w:pPr>
        <w:shd w:val="clear" w:color="auto" w:fill="FFFFFF"/>
        <w:spacing w:line="276" w:lineRule="auto"/>
        <w:jc w:val="both"/>
        <w:rPr>
          <w:rFonts w:ascii="Arial" w:hAnsi="Arial" w:cs="Arial"/>
          <w:b/>
          <w:bCs/>
          <w:color w:val="4A4A4A"/>
          <w:lang w:val="es-CO"/>
        </w:rPr>
      </w:pPr>
      <w:r>
        <w:rPr>
          <w:rFonts w:ascii="Century Gothic" w:eastAsiaTheme="minorHAnsi" w:hAnsi="Century Gothic" w:cs="Arial"/>
          <w:lang w:val="es-ES_tradnl"/>
        </w:rPr>
        <w:t>E</w:t>
      </w:r>
      <w:r w:rsidRPr="002C328F">
        <w:rPr>
          <w:rFonts w:ascii="Century Gothic" w:eastAsiaTheme="minorHAnsi" w:hAnsi="Century Gothic" w:cs="Arial"/>
          <w:lang w:val="es-ES_tradnl"/>
        </w:rPr>
        <w:t>n cumplimiento de lo dispuesto por el artículo 375 de la Constitución Política</w:t>
      </w:r>
      <w:r w:rsidR="00DA4459">
        <w:rPr>
          <w:rFonts w:ascii="Century Gothic" w:eastAsiaTheme="minorHAnsi" w:hAnsi="Century Gothic" w:cs="Arial"/>
          <w:lang w:val="es-ES_tradnl"/>
        </w:rPr>
        <w:t xml:space="preserve"> y </w:t>
      </w:r>
      <w:r w:rsidRPr="002C328F">
        <w:rPr>
          <w:rFonts w:ascii="Century Gothic" w:eastAsiaTheme="minorHAnsi" w:hAnsi="Century Gothic" w:cs="Arial"/>
          <w:lang w:val="es-ES_tradnl"/>
        </w:rPr>
        <w:t xml:space="preserve">en concordancia con el artículo 119 de la Ley 489 de 1998, </w:t>
      </w:r>
      <w:r>
        <w:rPr>
          <w:rFonts w:ascii="Century Gothic" w:eastAsiaTheme="minorHAnsi" w:hAnsi="Century Gothic" w:cs="Arial"/>
          <w:lang w:val="es-ES_tradnl"/>
        </w:rPr>
        <w:t xml:space="preserve">el texto del </w:t>
      </w:r>
      <w:r w:rsidRPr="00273378">
        <w:rPr>
          <w:rFonts w:ascii="Century Gothic" w:eastAsiaTheme="minorHAnsi" w:hAnsi="Century Gothic" w:cs="Arial"/>
          <w:lang w:val="es-ES_tradnl"/>
        </w:rPr>
        <w:t>Proyecto de Acto Legislativo</w:t>
      </w:r>
      <w:r>
        <w:rPr>
          <w:rFonts w:ascii="Century Gothic" w:eastAsiaTheme="minorHAnsi" w:hAnsi="Century Gothic" w:cs="Arial"/>
          <w:lang w:val="es-ES_tradnl"/>
        </w:rPr>
        <w:t xml:space="preserve"> aprobado en primera vuelta</w:t>
      </w:r>
      <w:r w:rsidR="00731FB7">
        <w:rPr>
          <w:rFonts w:ascii="Century Gothic" w:eastAsiaTheme="minorHAnsi" w:hAnsi="Century Gothic" w:cs="Arial"/>
          <w:lang w:val="es-ES_tradnl"/>
        </w:rPr>
        <w:t xml:space="preserve"> por el Congreso de la República </w:t>
      </w:r>
      <w:r>
        <w:rPr>
          <w:rFonts w:ascii="Century Gothic" w:eastAsiaTheme="minorHAnsi" w:hAnsi="Century Gothic" w:cs="Arial"/>
          <w:lang w:val="es-ES_tradnl"/>
        </w:rPr>
        <w:t xml:space="preserve">fue publicado en el </w:t>
      </w:r>
      <w:r w:rsidR="00731FB7" w:rsidRPr="00731FB7">
        <w:rPr>
          <w:rFonts w:ascii="Century Gothic" w:eastAsiaTheme="minorHAnsi" w:hAnsi="Century Gothic" w:cs="Arial"/>
          <w:lang w:val="es-ES_tradnl"/>
        </w:rPr>
        <w:t>Decreto 294 del 27 de febrero de 2020.</w:t>
      </w:r>
      <w:r w:rsidR="00731FB7">
        <w:rPr>
          <w:rFonts w:ascii="Arial" w:hAnsi="Arial" w:cs="Arial"/>
          <w:b/>
          <w:bCs/>
          <w:color w:val="4A4A4A"/>
          <w:lang w:val="es-CO"/>
        </w:rPr>
        <w:t xml:space="preserve"> </w:t>
      </w:r>
    </w:p>
    <w:p w14:paraId="30C1B45C" w14:textId="1231053E" w:rsidR="00EC1365" w:rsidRDefault="00EC1365" w:rsidP="00542732">
      <w:pPr>
        <w:shd w:val="clear" w:color="auto" w:fill="FFFFFF"/>
        <w:jc w:val="both"/>
        <w:rPr>
          <w:rFonts w:ascii="Century Gothic" w:eastAsiaTheme="minorHAnsi" w:hAnsi="Century Gothic" w:cs="Arial"/>
          <w:lang w:val="es-ES_tradnl"/>
        </w:rPr>
      </w:pPr>
    </w:p>
    <w:p w14:paraId="244A5E4C" w14:textId="54106240" w:rsidR="00542732" w:rsidRPr="00542732" w:rsidRDefault="00542732" w:rsidP="00542732">
      <w:pPr>
        <w:spacing w:line="276" w:lineRule="auto"/>
        <w:jc w:val="both"/>
      </w:pPr>
      <w:r w:rsidRPr="003B6D29">
        <w:rPr>
          <w:rFonts w:ascii="Century Gothic" w:hAnsi="Century Gothic" w:cs="Arial"/>
        </w:rPr>
        <w:t xml:space="preserve">Mediante comunicación del </w:t>
      </w:r>
      <w:r>
        <w:rPr>
          <w:rFonts w:ascii="Century Gothic" w:hAnsi="Century Gothic" w:cs="Arial"/>
        </w:rPr>
        <w:t xml:space="preserve">16 </w:t>
      </w:r>
      <w:r w:rsidRPr="003B6D29">
        <w:rPr>
          <w:rFonts w:ascii="Century Gothic" w:hAnsi="Century Gothic" w:cs="Arial"/>
        </w:rPr>
        <w:t xml:space="preserve">de </w:t>
      </w:r>
      <w:r>
        <w:rPr>
          <w:rFonts w:ascii="Century Gothic" w:hAnsi="Century Gothic" w:cs="Arial"/>
        </w:rPr>
        <w:t>marzo</w:t>
      </w:r>
      <w:r w:rsidRPr="003B6D29">
        <w:rPr>
          <w:rFonts w:ascii="Century Gothic" w:hAnsi="Century Gothic" w:cs="Arial"/>
        </w:rPr>
        <w:t xml:space="preserve"> de 20</w:t>
      </w:r>
      <w:r>
        <w:rPr>
          <w:rFonts w:ascii="Century Gothic" w:hAnsi="Century Gothic" w:cs="Arial"/>
        </w:rPr>
        <w:t>20</w:t>
      </w:r>
      <w:r w:rsidRPr="003B6D29">
        <w:rPr>
          <w:rFonts w:ascii="Century Gothic" w:hAnsi="Century Gothic" w:cs="Arial"/>
        </w:rPr>
        <w:t xml:space="preserve"> y de conformidad con el Acta </w:t>
      </w:r>
      <w:r>
        <w:rPr>
          <w:rFonts w:ascii="Century Gothic" w:hAnsi="Century Gothic" w:cs="Arial"/>
        </w:rPr>
        <w:t>019</w:t>
      </w:r>
      <w:r w:rsidRPr="003B6D29">
        <w:rPr>
          <w:rFonts w:ascii="Century Gothic" w:hAnsi="Century Gothic" w:cs="Arial"/>
        </w:rPr>
        <w:t xml:space="preserve"> de </w:t>
      </w:r>
      <w:r w:rsidR="00EC1365" w:rsidRPr="003B6D29">
        <w:rPr>
          <w:rFonts w:ascii="Century Gothic" w:hAnsi="Century Gothic" w:cs="Arial"/>
        </w:rPr>
        <w:t xml:space="preserve">la Mesa Directiva de la Comisión Primera Constitucional Permanente de la Cámara de Representantes, </w:t>
      </w:r>
      <w:r w:rsidR="00EC1365">
        <w:rPr>
          <w:rFonts w:ascii="Century Gothic" w:hAnsi="Century Gothic" w:cs="Arial"/>
        </w:rPr>
        <w:t xml:space="preserve">se </w:t>
      </w:r>
      <w:r w:rsidR="00EC1365" w:rsidRPr="003B6D29">
        <w:rPr>
          <w:rFonts w:ascii="Century Gothic" w:hAnsi="Century Gothic" w:cs="Arial"/>
        </w:rPr>
        <w:t>design</w:t>
      </w:r>
      <w:r w:rsidR="00EC1365">
        <w:rPr>
          <w:rFonts w:ascii="Century Gothic" w:hAnsi="Century Gothic" w:cs="Arial"/>
        </w:rPr>
        <w:t>ó</w:t>
      </w:r>
      <w:r w:rsidR="00EC1365" w:rsidRPr="003B6D29">
        <w:rPr>
          <w:rFonts w:ascii="Century Gothic" w:hAnsi="Century Gothic" w:cs="Arial"/>
        </w:rPr>
        <w:t xml:space="preserve"> como </w:t>
      </w:r>
      <w:r w:rsidR="00EC1365" w:rsidRPr="003B6D29">
        <w:rPr>
          <w:rFonts w:ascii="Century Gothic" w:hAnsi="Century Gothic" w:cs="Arial"/>
        </w:rPr>
        <w:lastRenderedPageBreak/>
        <w:t>ponentes </w:t>
      </w:r>
      <w:r w:rsidR="00D16FBA" w:rsidRPr="00D16FBA">
        <w:rPr>
          <w:rFonts w:ascii="Century Gothic" w:hAnsi="Century Gothic" w:cs="Book Antiqua"/>
          <w:color w:val="000000"/>
          <w:lang w:val="es-CO"/>
        </w:rPr>
        <w:t>para primer debate en segunda vuelta</w:t>
      </w:r>
      <w:r w:rsidR="00D16FBA" w:rsidRPr="00D16FBA">
        <w:rPr>
          <w:rFonts w:ascii="Century Gothic" w:hAnsi="Century Gothic" w:cs="Arial"/>
        </w:rPr>
        <w:t xml:space="preserve"> </w:t>
      </w:r>
      <w:r w:rsidR="00EC1365" w:rsidRPr="00D16FBA">
        <w:rPr>
          <w:rFonts w:ascii="Century Gothic" w:hAnsi="Century Gothic" w:cs="Arial"/>
        </w:rPr>
        <w:t>a los Honorables Representantes Adriana Magali Matiz Vargas, Harry Giovanny González García, Elbert Diez Lozano</w:t>
      </w:r>
      <w:r w:rsidR="00EC1365" w:rsidRPr="002D6F59">
        <w:rPr>
          <w:rFonts w:ascii="Century Gothic" w:hAnsi="Century Gothic" w:cs="Arial"/>
        </w:rPr>
        <w:t>,</w:t>
      </w:r>
      <w:r w:rsidR="00EC1365">
        <w:rPr>
          <w:rFonts w:ascii="Century Gothic" w:hAnsi="Century Gothic" w:cs="Arial"/>
        </w:rPr>
        <w:t xml:space="preserve"> Cesar Augusto Lorduy Maldonado</w:t>
      </w:r>
      <w:r w:rsidR="00D16FBA">
        <w:rPr>
          <w:rFonts w:ascii="Century Gothic" w:hAnsi="Century Gothic" w:cs="Arial"/>
        </w:rPr>
        <w:t xml:space="preserve">, </w:t>
      </w:r>
      <w:r w:rsidR="00EC1365" w:rsidRPr="002D6F59">
        <w:rPr>
          <w:rFonts w:ascii="Century Gothic" w:hAnsi="Century Gothic" w:cs="Arial"/>
        </w:rPr>
        <w:t>José Jaime Uscategui Pastrana</w:t>
      </w:r>
      <w:r w:rsidR="00D16FBA">
        <w:rPr>
          <w:rFonts w:ascii="Century Gothic" w:hAnsi="Century Gothic" w:cs="Arial"/>
        </w:rPr>
        <w:t xml:space="preserve">, </w:t>
      </w:r>
      <w:r w:rsidR="00D16FBA" w:rsidRPr="002D6F59">
        <w:rPr>
          <w:rFonts w:ascii="Century Gothic" w:hAnsi="Century Gothic" w:cs="Arial"/>
        </w:rPr>
        <w:t>Carlos Germán Navas Talero</w:t>
      </w:r>
      <w:r w:rsidR="00D16FBA" w:rsidRPr="00E27B34">
        <w:rPr>
          <w:rFonts w:ascii="Century Gothic" w:hAnsi="Century Gothic" w:cs="Arial"/>
        </w:rPr>
        <w:t xml:space="preserve"> </w:t>
      </w:r>
      <w:r w:rsidR="00D16FBA" w:rsidRPr="002D6F59">
        <w:rPr>
          <w:rFonts w:ascii="Century Gothic" w:hAnsi="Century Gothic" w:cs="Arial"/>
        </w:rPr>
        <w:t>y Luis Alberto Albán</w:t>
      </w:r>
      <w:r>
        <w:rPr>
          <w:rFonts w:ascii="Century Gothic" w:hAnsi="Century Gothic" w:cs="Arial"/>
        </w:rPr>
        <w:t>.</w:t>
      </w:r>
    </w:p>
    <w:p w14:paraId="6C0AC995" w14:textId="5BC43A70" w:rsidR="00731FB7" w:rsidRDefault="00731FB7" w:rsidP="00D16FBA">
      <w:pPr>
        <w:shd w:val="clear" w:color="auto" w:fill="FFFFFF"/>
        <w:rPr>
          <w:rFonts w:ascii="Arial" w:hAnsi="Arial" w:cs="Arial"/>
          <w:b/>
          <w:bCs/>
          <w:color w:val="4A4A4A"/>
          <w:sz w:val="22"/>
          <w:szCs w:val="22"/>
        </w:rPr>
      </w:pPr>
      <w:r>
        <w:rPr>
          <w:rFonts w:ascii="Arial" w:hAnsi="Arial" w:cs="Arial"/>
          <w:b/>
          <w:bCs/>
          <w:color w:val="4A4A4A"/>
          <w:lang w:val="es-CO"/>
        </w:rPr>
        <w:t> </w:t>
      </w:r>
    </w:p>
    <w:p w14:paraId="3E8C252E" w14:textId="77777777" w:rsidR="00793F85" w:rsidRPr="002D6F59" w:rsidRDefault="00793F85" w:rsidP="00B34CD1">
      <w:pPr>
        <w:pStyle w:val="Prrafodelista"/>
        <w:numPr>
          <w:ilvl w:val="0"/>
          <w:numId w:val="30"/>
        </w:numPr>
        <w:spacing w:after="240"/>
        <w:jc w:val="center"/>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t>OBJETIVO DE LA PROPUESTA.</w:t>
      </w:r>
    </w:p>
    <w:p w14:paraId="217B3A58" w14:textId="77DC5711" w:rsidR="00793F85" w:rsidRPr="00110464" w:rsidRDefault="00793F85" w:rsidP="00B17AB2">
      <w:pPr>
        <w:spacing w:after="240" w:line="276" w:lineRule="auto"/>
        <w:jc w:val="both"/>
        <w:rPr>
          <w:rFonts w:ascii="Century Gothic" w:eastAsiaTheme="minorHAnsi" w:hAnsi="Century Gothic" w:cs="Arial"/>
        </w:rPr>
      </w:pPr>
      <w:r w:rsidRPr="00110464">
        <w:rPr>
          <w:rFonts w:ascii="Century Gothic" w:eastAsiaTheme="minorHAnsi" w:hAnsi="Century Gothic" w:cs="Arial"/>
        </w:rPr>
        <w:t>Establecer en nuestro ordenamiento jurídico la prisión perpetua revisable cuando</w:t>
      </w:r>
      <w:r w:rsidR="00B37DB0" w:rsidRPr="00110464">
        <w:rPr>
          <w:rFonts w:ascii="Century Gothic" w:eastAsiaTheme="minorHAnsi" w:hAnsi="Century Gothic" w:cs="Arial"/>
        </w:rPr>
        <w:t xml:space="preserve"> un niño, niña o adolescente sea víctima de las conductas de homicidio en modalidad dolosa, acceso carnal o actos sexuales que impliq</w:t>
      </w:r>
      <w:r w:rsidR="004D798D" w:rsidRPr="00110464">
        <w:rPr>
          <w:rFonts w:ascii="Century Gothic" w:eastAsiaTheme="minorHAnsi" w:hAnsi="Century Gothic" w:cs="Arial"/>
        </w:rPr>
        <w:t>uen violencia o la víctima este</w:t>
      </w:r>
      <w:r w:rsidR="00B37DB0" w:rsidRPr="00110464">
        <w:rPr>
          <w:rFonts w:ascii="Century Gothic" w:eastAsiaTheme="minorHAnsi" w:hAnsi="Century Gothic" w:cs="Arial"/>
        </w:rPr>
        <w:t xml:space="preserve"> en incapacidad de resistir. </w:t>
      </w:r>
      <w:r w:rsidRPr="00110464">
        <w:rPr>
          <w:rFonts w:ascii="Century Gothic" w:eastAsiaTheme="minorHAnsi" w:hAnsi="Century Gothic" w:cs="Arial"/>
        </w:rPr>
        <w:t xml:space="preserve">Por lo anterior, la reforma propuesta, pretende que, de manera </w:t>
      </w:r>
      <w:r w:rsidRPr="00110464">
        <w:rPr>
          <w:rFonts w:ascii="Century Gothic" w:eastAsiaTheme="minorHAnsi" w:hAnsi="Century Gothic" w:cs="Arial"/>
          <w:b/>
        </w:rPr>
        <w:t>excepcional,</w:t>
      </w:r>
      <w:r w:rsidRPr="00110464">
        <w:rPr>
          <w:rFonts w:ascii="Century Gothic" w:eastAsiaTheme="minorHAnsi" w:hAnsi="Century Gothic" w:cs="Arial"/>
        </w:rPr>
        <w:t xml:space="preserve"> se pueda imponer hasta la pena de prisión perpetua,</w:t>
      </w:r>
      <w:r w:rsidR="00B37DB0" w:rsidRPr="00110464">
        <w:rPr>
          <w:rFonts w:ascii="Century Gothic" w:eastAsiaTheme="minorHAnsi" w:hAnsi="Century Gothic" w:cs="Arial"/>
        </w:rPr>
        <w:t xml:space="preserve"> la cual</w:t>
      </w:r>
      <w:r w:rsidRPr="00110464">
        <w:rPr>
          <w:rFonts w:ascii="Century Gothic" w:eastAsiaTheme="minorHAnsi" w:hAnsi="Century Gothic" w:cs="Arial"/>
        </w:rPr>
        <w:t xml:space="preserve"> </w:t>
      </w:r>
      <w:r w:rsidR="00B37DB0" w:rsidRPr="00110464">
        <w:rPr>
          <w:rFonts w:ascii="Century Gothic" w:eastAsiaTheme="minorHAnsi" w:hAnsi="Century Gothic" w:cs="Arial"/>
        </w:rPr>
        <w:t xml:space="preserve">tendrá control automático ante el superior jerárquico y </w:t>
      </w:r>
      <w:r w:rsidR="004D798D" w:rsidRPr="00110464">
        <w:rPr>
          <w:rFonts w:ascii="Century Gothic" w:eastAsiaTheme="minorHAnsi" w:hAnsi="Century Gothic" w:cs="Arial"/>
        </w:rPr>
        <w:t>será</w:t>
      </w:r>
      <w:r w:rsidR="00B37DB0" w:rsidRPr="00110464">
        <w:rPr>
          <w:rFonts w:ascii="Century Gothic" w:eastAsiaTheme="minorHAnsi" w:hAnsi="Century Gothic" w:cs="Arial"/>
        </w:rPr>
        <w:t xml:space="preserve"> revisada en un plazo no inferior a veinticinco (25) años, para evaluar la resocialización del condenado</w:t>
      </w:r>
      <w:r w:rsidRPr="00110464">
        <w:rPr>
          <w:rFonts w:ascii="Century Gothic" w:eastAsiaTheme="minorHAnsi" w:hAnsi="Century Gothic" w:cs="Arial"/>
        </w:rPr>
        <w:t>. En este orden de ideas, la presente reforma constitucional tiene como fin garantizar la protección de un segmento de la población que hoy se ve expuesto y que debe ser considerado como el tesoro más preciado de nuestro ordenamiento jurídico.</w:t>
      </w:r>
    </w:p>
    <w:p w14:paraId="0F79F346" w14:textId="77777777" w:rsidR="00793F85" w:rsidRPr="002D6F59" w:rsidRDefault="00793F85" w:rsidP="00B17AB2">
      <w:pPr>
        <w:pStyle w:val="Prrafodelista"/>
        <w:numPr>
          <w:ilvl w:val="0"/>
          <w:numId w:val="30"/>
        </w:numPr>
        <w:spacing w:after="240"/>
        <w:jc w:val="center"/>
        <w:rPr>
          <w:rFonts w:ascii="Century Gothic" w:hAnsi="Century Gothic" w:cs="Arial"/>
          <w:b/>
          <w:caps/>
          <w:sz w:val="24"/>
          <w:szCs w:val="24"/>
        </w:rPr>
      </w:pPr>
      <w:r w:rsidRPr="002D6F59">
        <w:rPr>
          <w:rFonts w:ascii="Century Gothic" w:hAnsi="Century Gothic" w:cs="Arial"/>
          <w:b/>
          <w:caps/>
          <w:sz w:val="24"/>
          <w:szCs w:val="24"/>
        </w:rPr>
        <w:t>ANTECEDENTES de la INICIATIVA</w:t>
      </w:r>
    </w:p>
    <w:p w14:paraId="54768BD6" w14:textId="77777777" w:rsidR="00793F85" w:rsidRPr="002D6F59" w:rsidRDefault="00793F85" w:rsidP="00B17AB2">
      <w:pPr>
        <w:spacing w:line="276" w:lineRule="auto"/>
        <w:jc w:val="both"/>
        <w:rPr>
          <w:rFonts w:ascii="Century Gothic" w:hAnsi="Century Gothic" w:cs="Arial"/>
        </w:rPr>
      </w:pPr>
      <w:r w:rsidRPr="002D6F59">
        <w:rPr>
          <w:rFonts w:ascii="Century Gothic" w:hAnsi="Century Gothic" w:cs="Arial"/>
        </w:rPr>
        <w:t xml:space="preserve">El Congreso de la República ha dado trámite, a diversas iniciativas relacionadas con establecer la prisión perpetua en el territorio nacional, tales como las siguientes: </w:t>
      </w:r>
    </w:p>
    <w:p w14:paraId="62DF6E8D" w14:textId="77777777" w:rsidR="00793F85" w:rsidRPr="002D6F59" w:rsidRDefault="00793F85" w:rsidP="00B17AB2">
      <w:pPr>
        <w:spacing w:line="276" w:lineRule="auto"/>
        <w:jc w:val="both"/>
        <w:rPr>
          <w:rFonts w:ascii="Century Gothic" w:hAnsi="Century Gothic" w:cs="Arial"/>
        </w:rPr>
      </w:pPr>
    </w:p>
    <w:p w14:paraId="30A100F3" w14:textId="77777777" w:rsidR="00793F85" w:rsidRPr="002D6F59" w:rsidRDefault="00793F85" w:rsidP="00B17AB2">
      <w:pPr>
        <w:pStyle w:val="Prrafodelista"/>
        <w:numPr>
          <w:ilvl w:val="0"/>
          <w:numId w:val="20"/>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352 de 2019 </w:t>
      </w:r>
      <w:r w:rsidRPr="002D6F59">
        <w:rPr>
          <w:rFonts w:ascii="Century Gothic" w:hAnsi="Century Gothic" w:cs="Arial"/>
          <w:i/>
          <w:sz w:val="24"/>
          <w:szCs w:val="24"/>
          <w:lang w:eastAsia="es-ES"/>
        </w:rPr>
        <w:t xml:space="preserve">“Por medio del cual se modifica el artículo 34 de la Constitución Política, suprimiendo la prohibición de la pena de prisión perpetua y estableciendo la prisión perpetua revisable” -en memoria de Gilma Jiménez. [Cadena perpetua]”: </w:t>
      </w:r>
      <w:r w:rsidRPr="002D6F59">
        <w:rPr>
          <w:rFonts w:ascii="Century Gothic" w:hAnsi="Century Gothic" w:cs="Arial"/>
          <w:sz w:val="24"/>
          <w:szCs w:val="24"/>
        </w:rPr>
        <w:t>fue presentado a la Secretaría de la Cámara de Representantes el pasado 26 de marzo de 2019 por los Representante a la Cámara Martha Villalba Hodwalker, Adriana Magali Matiz Vargas, Jorge Burgos Lugo, entre otros; fue asignado a la Comisión Primera Constitucional de la Cámara Representantes y retirado el 21 de mayo de 2019.</w:t>
      </w:r>
    </w:p>
    <w:p w14:paraId="2BAE2912" w14:textId="77777777" w:rsidR="00793F85" w:rsidRPr="002D6F59" w:rsidRDefault="00793F85" w:rsidP="00B17AB2">
      <w:pPr>
        <w:pStyle w:val="Prrafodelista"/>
        <w:jc w:val="both"/>
        <w:rPr>
          <w:rFonts w:ascii="Century Gothic" w:hAnsi="Century Gothic" w:cs="Arial"/>
          <w:sz w:val="24"/>
          <w:szCs w:val="24"/>
        </w:rPr>
      </w:pPr>
    </w:p>
    <w:p w14:paraId="536A5342" w14:textId="77777777" w:rsidR="00793F85" w:rsidRPr="002D6F59" w:rsidRDefault="00793F85" w:rsidP="00B17AB2">
      <w:pPr>
        <w:pStyle w:val="Prrafodelista"/>
        <w:numPr>
          <w:ilvl w:val="0"/>
          <w:numId w:val="20"/>
        </w:numPr>
        <w:spacing w:after="0"/>
        <w:jc w:val="both"/>
        <w:rPr>
          <w:rFonts w:ascii="Century Gothic" w:hAnsi="Century Gothic" w:cs="Arial"/>
          <w:sz w:val="24"/>
          <w:szCs w:val="24"/>
        </w:rPr>
      </w:pPr>
      <w:r w:rsidRPr="002D6F59">
        <w:rPr>
          <w:rFonts w:ascii="Century Gothic" w:hAnsi="Century Gothic" w:cs="Arial"/>
          <w:sz w:val="24"/>
          <w:szCs w:val="24"/>
        </w:rPr>
        <w:t>Proyecto de Acto Legislativo 066 de 2018” Por</w:t>
      </w:r>
      <w:r w:rsidRPr="002D6F59">
        <w:rPr>
          <w:rFonts w:ascii="Century Gothic" w:hAnsi="Century Gothic" w:cs="Arial"/>
          <w:i/>
          <w:sz w:val="24"/>
          <w:szCs w:val="24"/>
        </w:rPr>
        <w:t xml:space="preserve"> medio del cual se modifica el artículo 34 de la constitución política, suprimiendo la prohibición de la pena de prisión perpetua”:</w:t>
      </w:r>
      <w:r w:rsidRPr="002D6F59">
        <w:rPr>
          <w:rFonts w:ascii="Century Gothic" w:hAnsi="Century Gothic" w:cs="Arial"/>
          <w:sz w:val="24"/>
          <w:szCs w:val="24"/>
        </w:rPr>
        <w:t xml:space="preserve"> fue presentado a la Secretaría de la Cámara de </w:t>
      </w:r>
      <w:r w:rsidRPr="002D6F59">
        <w:rPr>
          <w:rFonts w:ascii="Century Gothic" w:hAnsi="Century Gothic" w:cs="Arial"/>
          <w:sz w:val="24"/>
          <w:szCs w:val="24"/>
        </w:rPr>
        <w:lastRenderedPageBreak/>
        <w:t xml:space="preserve">Representantes el pasado 01 de agosto de 2018 por la Representante a la Cámara Martha Villalba Hodwalker. De la Secretaría de la Cámara el proyecto fue remitido a la Comisión Primera Constitucional para el trámite de su primer debate, dada la complejidad del tema y la necesidad de llevar a cabo la audiencia pública se solicitó a la mesa directiva de la comisión prorrogar el tiempo para presentar la ponencia, petición que fue recibida en la comisión primera el 7 de septiembre de 2018. El día 19 de septiembre del año enunciado se llevó a cabo la Audiencia Pública en donde se escucharon los diferentes comentarios acerca del proyecto de acto legislativo, en consideración a ello a continuación se enuncian: </w:t>
      </w:r>
    </w:p>
    <w:p w14:paraId="3108DBE6" w14:textId="77777777" w:rsidR="00793F85" w:rsidRPr="002D6F59" w:rsidRDefault="00793F85" w:rsidP="00B17AB2">
      <w:pPr>
        <w:pStyle w:val="Prrafodelista"/>
        <w:spacing w:before="100" w:beforeAutospacing="1"/>
        <w:jc w:val="both"/>
        <w:rPr>
          <w:rFonts w:ascii="Century Gothic" w:hAnsi="Century Gothic" w:cs="Arial"/>
          <w:sz w:val="24"/>
          <w:szCs w:val="24"/>
        </w:rPr>
      </w:pPr>
    </w:p>
    <w:p w14:paraId="3BE8E6FD" w14:textId="77777777" w:rsidR="00793F85" w:rsidRPr="002D6F59" w:rsidRDefault="00793F85" w:rsidP="00B17AB2">
      <w:pPr>
        <w:pStyle w:val="Prrafodelista"/>
        <w:spacing w:before="100" w:beforeAutospacing="1"/>
        <w:jc w:val="both"/>
        <w:rPr>
          <w:rFonts w:ascii="Century Gothic" w:hAnsi="Century Gothic" w:cs="Arial"/>
          <w:sz w:val="24"/>
          <w:szCs w:val="24"/>
        </w:rPr>
      </w:pPr>
      <w:r w:rsidRPr="002D6F59">
        <w:rPr>
          <w:rFonts w:ascii="Century Gothic" w:hAnsi="Century Gothic" w:cs="Arial"/>
          <w:sz w:val="24"/>
          <w:szCs w:val="24"/>
        </w:rPr>
        <w:t xml:space="preserve">A) La Procuraduría General de la Nación consideró que el Proyecto de Acto Legislativo es un retroceso en la visión humanística de la carta adoptada de 1991, pues la política criminal no solo se debe tener en cuenta a la víctima y el denominado clamor social, si no los límites del estado frente a quien es objeto de punición, por lo tanto, no se debería admitir penas inhumanas de lo contrario se pondría en riesgo del principio de dignidad humana. En cuanto a la eficacia de la pena afirmó que la doctrina señala que la cadena perpetua no disminuye la delincuencia, en cuanto a la reincidencia esta es consecuencia de que no se logra una adecuada resocialización, concluye que los esfuerzos del legislador deberían centrarse en la prevención y en no aumentar la punición. </w:t>
      </w:r>
    </w:p>
    <w:p w14:paraId="70F248FB" w14:textId="77777777" w:rsidR="00793F85" w:rsidRPr="002D6F59" w:rsidRDefault="00793F85" w:rsidP="00B17AB2">
      <w:pPr>
        <w:spacing w:before="100" w:beforeAutospacing="1" w:line="276" w:lineRule="auto"/>
        <w:ind w:left="708"/>
        <w:jc w:val="both"/>
        <w:rPr>
          <w:rFonts w:ascii="Century Gothic" w:hAnsi="Century Gothic" w:cs="Arial"/>
        </w:rPr>
      </w:pPr>
      <w:r w:rsidRPr="002D6F59">
        <w:rPr>
          <w:rFonts w:ascii="Century Gothic" w:hAnsi="Century Gothic" w:cs="Arial"/>
        </w:rPr>
        <w:t>B) La Comisión Colombiana de Juristas realizó observaciones en diferentes aspectos en lo que concierne al principio de dignidad humana, reconociéndole como parte de los cimientos de la democracia Constitucional Colombiana, como presupuesto esencial y fundamento del ordenamiento jurídico y pilar fundamental del Estado social de Derecho, de igual forma manifestó que la indefinición de la pena desconoce los principios de retribución justa y prevención y resocialización de la pena, y agrega que la prisión perpetua desconoce normas internacionales que prohíben tratos crueles inhumanos y degradantes.</w:t>
      </w:r>
    </w:p>
    <w:p w14:paraId="19E6B38E" w14:textId="77777777" w:rsidR="00793F85" w:rsidRPr="002D6F59" w:rsidRDefault="00793F85" w:rsidP="00B17AB2">
      <w:pPr>
        <w:spacing w:before="100" w:beforeAutospacing="1" w:line="276" w:lineRule="auto"/>
        <w:ind w:left="708"/>
        <w:jc w:val="both"/>
        <w:rPr>
          <w:rFonts w:ascii="Century Gothic" w:hAnsi="Century Gothic" w:cs="Arial"/>
        </w:rPr>
      </w:pPr>
      <w:r w:rsidRPr="002D6F59">
        <w:rPr>
          <w:rFonts w:ascii="Century Gothic" w:hAnsi="Century Gothic" w:cs="Arial"/>
        </w:rPr>
        <w:t xml:space="preserve">C) El INPEC por su parte expreso que la pena tiene una función protectora y preventiva pero su fin fundamental es la resocialización, resaltaron que el desafío es en cuanto al hacinamiento que supera el </w:t>
      </w:r>
      <w:r w:rsidRPr="002D6F59">
        <w:rPr>
          <w:rFonts w:ascii="Century Gothic" w:hAnsi="Century Gothic" w:cs="Arial"/>
        </w:rPr>
        <w:lastRenderedPageBreak/>
        <w:t xml:space="preserve">47.96% sumado a la infraestructura y así poder garantizar una atención integral y un proceso de resocialización efectivo, por tanto, estas medidas legislativas no son convenientes, si no las que permitan disminuir las tasas de hacinamiento que presentan los centros de reclusión del país. </w:t>
      </w:r>
    </w:p>
    <w:p w14:paraId="4FCA3EE1" w14:textId="3B37E0D2" w:rsidR="002D6F59" w:rsidRDefault="00793F85" w:rsidP="002D6F59">
      <w:pPr>
        <w:spacing w:before="100" w:beforeAutospacing="1" w:line="276" w:lineRule="auto"/>
        <w:ind w:left="708"/>
        <w:jc w:val="both"/>
        <w:rPr>
          <w:rFonts w:ascii="Century Gothic" w:hAnsi="Century Gothic" w:cs="Arial"/>
        </w:rPr>
      </w:pPr>
      <w:r w:rsidRPr="002D6F59">
        <w:rPr>
          <w:rFonts w:ascii="Century Gothic" w:hAnsi="Century Gothic" w:cs="Arial"/>
        </w:rPr>
        <w:t>Después de haber escuchado la audiencia pública, se fijó fecha y fue debatido y aprobado en la comisión primera donde surtió su primer debate. Sin embargo, por vencimiento de términos fue archivado el 17 de diciembre de 2018.</w:t>
      </w:r>
    </w:p>
    <w:p w14:paraId="69B8B054" w14:textId="77777777" w:rsidR="002D6F59" w:rsidRPr="002D6F59" w:rsidRDefault="002D6F59" w:rsidP="002D6F59">
      <w:pPr>
        <w:jc w:val="both"/>
        <w:rPr>
          <w:rFonts w:ascii="Century Gothic" w:hAnsi="Century Gothic" w:cs="Arial"/>
        </w:rPr>
      </w:pPr>
    </w:p>
    <w:p w14:paraId="53D1482A" w14:textId="7777777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223 de 2018 Cámara </w:t>
      </w:r>
      <w:r w:rsidRPr="002D6F59">
        <w:rPr>
          <w:rFonts w:ascii="Century Gothic" w:hAnsi="Century Gothic" w:cs="Arial"/>
          <w:i/>
          <w:sz w:val="24"/>
          <w:szCs w:val="24"/>
        </w:rPr>
        <w:t>“Por medio del cual se modifica el artículo 34 de la constitución política, suprimiendo la prohibición de la pena de prisión perpetua”</w:t>
      </w:r>
      <w:r w:rsidRPr="002D6F59">
        <w:rPr>
          <w:rFonts w:ascii="Century Gothic" w:hAnsi="Century Gothic" w:cs="Arial"/>
          <w:sz w:val="24"/>
          <w:szCs w:val="24"/>
        </w:rPr>
        <w:t>: Fue presentado por el H.R Efraín Antonio Torres Monsalvo, el 9 de abril de 2018; fue asignado a la Comisión Primera Constitucional de la Cámara Representantes en la cual se dio trámite a la ponencia para primer debate; el proyecto fue archivado el 21 de junio de 2018.</w:t>
      </w:r>
    </w:p>
    <w:p w14:paraId="1ECA5FE8" w14:textId="77777777" w:rsidR="00793F85" w:rsidRPr="002D6F59" w:rsidRDefault="00793F85" w:rsidP="002D6F59">
      <w:pPr>
        <w:pStyle w:val="Prrafodelista"/>
        <w:spacing w:line="240" w:lineRule="auto"/>
        <w:jc w:val="both"/>
        <w:rPr>
          <w:rFonts w:ascii="Century Gothic" w:hAnsi="Century Gothic" w:cs="Arial"/>
          <w:sz w:val="24"/>
          <w:szCs w:val="24"/>
        </w:rPr>
      </w:pPr>
    </w:p>
    <w:p w14:paraId="7F475D0E" w14:textId="34E728EF" w:rsidR="00793F85" w:rsidRDefault="00793F85" w:rsidP="002D6F59">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055 de 2017 Cámara </w:t>
      </w:r>
      <w:r w:rsidRPr="002D6F59">
        <w:rPr>
          <w:rFonts w:ascii="Century Gothic" w:hAnsi="Century Gothic" w:cs="Arial"/>
          <w:i/>
          <w:sz w:val="24"/>
          <w:szCs w:val="24"/>
        </w:rPr>
        <w:t>“Por medio del cual se modifica el artículo 34 de la constitución política, suprimiendo la prohibición de la pena de prisión perpetua”:</w:t>
      </w:r>
      <w:r w:rsidRPr="002D6F59">
        <w:rPr>
          <w:rFonts w:ascii="Century Gothic" w:hAnsi="Century Gothic" w:cs="Arial"/>
          <w:sz w:val="24"/>
          <w:szCs w:val="24"/>
        </w:rPr>
        <w:t xml:space="preserve"> Fue presentado por el H.R Efraín Antonio Torres Monsalvo, el 1 de agosto de 2017; fue asignado a la Comisión Primera Constitucional de la Cámara Representantes en la cual se dio trámite a la ponencia para primer debate; recibido concepto desfavorable por parte del Consejo Superior de Política Criminal fue retirado el 29 de noviembre de 2017.</w:t>
      </w:r>
    </w:p>
    <w:p w14:paraId="231A2CF9" w14:textId="12B4025A" w:rsidR="00E708B5" w:rsidRPr="00E708B5" w:rsidRDefault="00E708B5" w:rsidP="00E708B5">
      <w:pPr>
        <w:jc w:val="both"/>
        <w:rPr>
          <w:rFonts w:ascii="Century Gothic" w:hAnsi="Century Gothic" w:cs="Arial"/>
        </w:rPr>
      </w:pPr>
    </w:p>
    <w:p w14:paraId="6FC9E7FB" w14:textId="7777777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240 de 2017 Cámara </w:t>
      </w:r>
      <w:r w:rsidRPr="002D6F59">
        <w:rPr>
          <w:rFonts w:ascii="Century Gothic" w:hAnsi="Century Gothic" w:cs="Arial"/>
          <w:i/>
          <w:sz w:val="24"/>
          <w:szCs w:val="24"/>
        </w:rPr>
        <w:t xml:space="preserve">“Por medio del cual se modifica el artículo 34 de la constitución política, suprimiendo la prohibición de la pena de prisión perpetua”: </w:t>
      </w:r>
      <w:r w:rsidRPr="002D6F59">
        <w:rPr>
          <w:rFonts w:ascii="Century Gothic" w:hAnsi="Century Gothic" w:cs="Arial"/>
          <w:sz w:val="24"/>
          <w:szCs w:val="24"/>
        </w:rPr>
        <w:t xml:space="preserve">Fue presentado por los Honorables Representantes Efraín Antonio Torres Monsalvo, Oscar Fernando Bravo Realpe, Wilmer Ramiro Carrillo Mendoza, Jairo Enrique Castiblanco Parra, Carlos Arturo Correa Mojica, Marta Cecilia Curi Osorio, Alexander García Rodríguez, Nery Oros Ortiz, Ana María Rincón Herrera, Eduardo José Tous De La Ossa, Albeiro Vanegas Osorio, Martha Patricia Villalba Hodwalker, Berner León Zambrano Erazo, el 23 de marzo de 2017; fue asignado a la Comisión Primera Constitucional de la Cámara Representantes en la cual se dio </w:t>
      </w:r>
      <w:r w:rsidRPr="002D6F59">
        <w:rPr>
          <w:rFonts w:ascii="Century Gothic" w:hAnsi="Century Gothic" w:cs="Arial"/>
          <w:sz w:val="24"/>
          <w:szCs w:val="24"/>
        </w:rPr>
        <w:lastRenderedPageBreak/>
        <w:t xml:space="preserve">trámite a la ponencia para primer debate, sin embargo el proyecto no surtió su segundo debate. </w:t>
      </w:r>
    </w:p>
    <w:p w14:paraId="2FD578CD" w14:textId="77777777" w:rsidR="00793F85" w:rsidRPr="002D6F59" w:rsidRDefault="00793F85" w:rsidP="002D6F59">
      <w:pPr>
        <w:jc w:val="both"/>
        <w:rPr>
          <w:rFonts w:ascii="Century Gothic" w:hAnsi="Century Gothic" w:cs="Arial"/>
        </w:rPr>
      </w:pPr>
    </w:p>
    <w:p w14:paraId="2B882A9D" w14:textId="7777777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204 de 2015 Cámara </w:t>
      </w:r>
      <w:r w:rsidRPr="002D6F59">
        <w:rPr>
          <w:rFonts w:ascii="Century Gothic" w:hAnsi="Century Gothic" w:cs="Arial"/>
          <w:i/>
          <w:sz w:val="24"/>
          <w:szCs w:val="24"/>
        </w:rPr>
        <w:t xml:space="preserve">“Por medio del cual se modifica el artículo 34 de la constitución política, suprimiendo la prohibición de la pena de prisión perpetua”: </w:t>
      </w:r>
      <w:r w:rsidRPr="002D6F59">
        <w:rPr>
          <w:rFonts w:ascii="Century Gothic" w:hAnsi="Century Gothic" w:cs="Arial"/>
          <w:sz w:val="24"/>
          <w:szCs w:val="24"/>
        </w:rPr>
        <w:t>Fue radicado el 19 de febrero de 2015; fue asignado a la Comisión Primera Constitucional de la Cámara Representantes en la cual se dio trámite a la ponencia para primer debate y fue archivado el 22 de junio de 2015.</w:t>
      </w:r>
    </w:p>
    <w:p w14:paraId="21D79038" w14:textId="77777777" w:rsidR="00793F85" w:rsidRPr="002D6F59" w:rsidRDefault="00793F85" w:rsidP="002D6F59">
      <w:pPr>
        <w:pStyle w:val="Prrafodelista"/>
        <w:spacing w:line="240" w:lineRule="auto"/>
        <w:rPr>
          <w:rFonts w:ascii="Century Gothic" w:hAnsi="Century Gothic" w:cs="Arial"/>
          <w:sz w:val="24"/>
          <w:szCs w:val="24"/>
        </w:rPr>
      </w:pPr>
    </w:p>
    <w:p w14:paraId="3E05CFF9" w14:textId="2F7A2347" w:rsidR="00793F85" w:rsidRPr="002D6F59" w:rsidRDefault="00793F85" w:rsidP="00B17AB2">
      <w:pPr>
        <w:pStyle w:val="Prrafodelista"/>
        <w:numPr>
          <w:ilvl w:val="0"/>
          <w:numId w:val="13"/>
        </w:numPr>
        <w:spacing w:after="0"/>
        <w:jc w:val="both"/>
        <w:rPr>
          <w:rFonts w:ascii="Century Gothic" w:hAnsi="Century Gothic" w:cs="Arial"/>
          <w:sz w:val="24"/>
          <w:szCs w:val="24"/>
        </w:rPr>
      </w:pPr>
      <w:r w:rsidRPr="002D6F59">
        <w:rPr>
          <w:rFonts w:ascii="Century Gothic" w:hAnsi="Century Gothic" w:cs="Arial"/>
          <w:sz w:val="24"/>
          <w:szCs w:val="24"/>
        </w:rPr>
        <w:t xml:space="preserve">Proyecto de Acto Legislativo 036 de 2013 Cámara </w:t>
      </w:r>
      <w:r w:rsidRPr="002D6F59">
        <w:rPr>
          <w:rFonts w:ascii="Century Gothic" w:hAnsi="Century Gothic" w:cs="Arial"/>
          <w:i/>
          <w:sz w:val="24"/>
          <w:szCs w:val="24"/>
        </w:rPr>
        <w:t xml:space="preserve">“Por el cual se modifica el artículo 34 de la Constitución Política de Colombia, para permitir la Prisión Perpetua Revisable a partir de los 40 años de prisión exclusivamente cuando la víctima de los delitos de homicidio, acceso carnal violento, secuestro o explotación sexual, sea un menor de 14 años o menor de 18 años con discapacidad y se dictan otras disposiciones. [Prisión perpetua revisable]”: </w:t>
      </w:r>
      <w:r w:rsidRPr="002D6F59">
        <w:rPr>
          <w:rFonts w:ascii="Century Gothic" w:hAnsi="Century Gothic" w:cs="Arial"/>
          <w:sz w:val="24"/>
          <w:szCs w:val="24"/>
        </w:rPr>
        <w:t>Fue radicado el 30 de julio de 2013 por Yahir Fernando Acuña, Albeiro Vanegas Osorio, entre otros y retirado el 13 de noviembre de 2013.</w:t>
      </w:r>
    </w:p>
    <w:p w14:paraId="7BA83441" w14:textId="0039FB0A" w:rsidR="00251E2E" w:rsidRPr="002D6F59" w:rsidRDefault="00251E2E" w:rsidP="002D6F59">
      <w:pPr>
        <w:pStyle w:val="Prrafodelista"/>
        <w:spacing w:after="0" w:line="240" w:lineRule="auto"/>
        <w:ind w:left="0"/>
        <w:jc w:val="both"/>
        <w:rPr>
          <w:rFonts w:ascii="Century Gothic" w:hAnsi="Century Gothic" w:cs="Arial"/>
          <w:sz w:val="24"/>
          <w:szCs w:val="24"/>
        </w:rPr>
      </w:pPr>
    </w:p>
    <w:p w14:paraId="5D76ECB1" w14:textId="448D1159" w:rsidR="00793F85" w:rsidRPr="002D6F59" w:rsidRDefault="00793F85" w:rsidP="00B17AB2">
      <w:pPr>
        <w:pStyle w:val="Ttulo1"/>
        <w:keepNext w:val="0"/>
        <w:keepLines w:val="0"/>
        <w:numPr>
          <w:ilvl w:val="0"/>
          <w:numId w:val="13"/>
        </w:numPr>
        <w:shd w:val="clear" w:color="auto" w:fill="FFFFFF"/>
        <w:spacing w:before="0"/>
        <w:jc w:val="both"/>
        <w:rPr>
          <w:rFonts w:ascii="Century Gothic" w:hAnsi="Century Gothic" w:cs="Arial"/>
          <w:b w:val="0"/>
          <w:color w:val="000000" w:themeColor="text1"/>
          <w:sz w:val="24"/>
          <w:szCs w:val="24"/>
        </w:rPr>
      </w:pPr>
      <w:r w:rsidRPr="002D6F59">
        <w:rPr>
          <w:rFonts w:ascii="Century Gothic" w:hAnsi="Century Gothic" w:cs="Arial"/>
          <w:b w:val="0"/>
          <w:color w:val="000000" w:themeColor="text1"/>
          <w:sz w:val="24"/>
          <w:szCs w:val="24"/>
        </w:rPr>
        <w:t>Proyecto</w:t>
      </w:r>
      <w:r w:rsidRPr="002D6F59">
        <w:rPr>
          <w:rFonts w:ascii="Century Gothic" w:hAnsi="Century Gothic" w:cs="Arial"/>
          <w:b w:val="0"/>
          <w:bCs w:val="0"/>
          <w:color w:val="000000" w:themeColor="text1"/>
          <w:sz w:val="24"/>
          <w:szCs w:val="24"/>
          <w:lang w:eastAsia="es-ES"/>
        </w:rPr>
        <w:t xml:space="preserve"> de Acto Legislativo 163 de 2008 Cámara “Por medio de la cual se modifica el artículo 34 de la Constitución Política, cadena perpetua abusadores niños.”</w:t>
      </w:r>
      <w:r w:rsidRPr="002D6F59">
        <w:rPr>
          <w:rFonts w:ascii="Century Gothic" w:hAnsi="Century Gothic" w:cs="Arial"/>
          <w:b w:val="0"/>
          <w:i/>
          <w:color w:val="000000" w:themeColor="text1"/>
          <w:sz w:val="24"/>
          <w:szCs w:val="24"/>
        </w:rPr>
        <w:t xml:space="preserve">: </w:t>
      </w:r>
      <w:r w:rsidRPr="002D6F59">
        <w:rPr>
          <w:rFonts w:ascii="Century Gothic" w:hAnsi="Century Gothic" w:cs="Arial"/>
          <w:b w:val="0"/>
          <w:color w:val="000000" w:themeColor="text1"/>
          <w:sz w:val="24"/>
          <w:szCs w:val="24"/>
        </w:rPr>
        <w:t xml:space="preserve">Fue radicado el 01 de octubre de 2008 por German Varón </w:t>
      </w:r>
      <w:proofErr w:type="spellStart"/>
      <w:r w:rsidRPr="002D6F59">
        <w:rPr>
          <w:rFonts w:ascii="Century Gothic" w:hAnsi="Century Gothic" w:cs="Arial"/>
          <w:b w:val="0"/>
          <w:color w:val="000000" w:themeColor="text1"/>
          <w:sz w:val="24"/>
          <w:szCs w:val="24"/>
        </w:rPr>
        <w:t>Cotrino</w:t>
      </w:r>
      <w:proofErr w:type="spellEnd"/>
      <w:r w:rsidRPr="002D6F59">
        <w:rPr>
          <w:rFonts w:ascii="Century Gothic" w:hAnsi="Century Gothic" w:cs="Arial"/>
          <w:b w:val="0"/>
          <w:color w:val="000000" w:themeColor="text1"/>
          <w:sz w:val="24"/>
          <w:szCs w:val="24"/>
        </w:rPr>
        <w:t>, Gloria Stella Díaz Ortiz, entre otros y archivado por vencimiento de términos el 2 de diciembre de 2008.</w:t>
      </w:r>
    </w:p>
    <w:p w14:paraId="4B233650" w14:textId="77777777" w:rsidR="00B23958" w:rsidRPr="002D6F59" w:rsidRDefault="00B23958" w:rsidP="00024C68">
      <w:pPr>
        <w:rPr>
          <w:rFonts w:ascii="Century Gothic" w:hAnsi="Century Gothic"/>
          <w:lang w:val="es-ES" w:eastAsia="en-US"/>
        </w:rPr>
      </w:pPr>
    </w:p>
    <w:p w14:paraId="36632AAE" w14:textId="77777777" w:rsidR="00793F85" w:rsidRPr="002D6F59" w:rsidRDefault="00793F85" w:rsidP="00B17AB2">
      <w:pPr>
        <w:pStyle w:val="Prrafodelista"/>
        <w:numPr>
          <w:ilvl w:val="0"/>
          <w:numId w:val="13"/>
        </w:numPr>
        <w:spacing w:after="0"/>
        <w:jc w:val="both"/>
        <w:rPr>
          <w:rFonts w:ascii="Century Gothic" w:hAnsi="Century Gothic" w:cs="Arial"/>
          <w:i/>
          <w:sz w:val="24"/>
          <w:szCs w:val="24"/>
        </w:rPr>
      </w:pPr>
      <w:r w:rsidRPr="002D6F59">
        <w:rPr>
          <w:rFonts w:ascii="Century Gothic" w:hAnsi="Century Gothic" w:cs="Arial"/>
          <w:sz w:val="24"/>
          <w:szCs w:val="24"/>
        </w:rPr>
        <w:t xml:space="preserve">Proyecto de Acto Legislativo 18 de 2008 Cámara </w:t>
      </w:r>
      <w:r w:rsidRPr="002D6F59">
        <w:rPr>
          <w:rFonts w:ascii="Century Gothic" w:hAnsi="Century Gothic" w:cs="Arial"/>
          <w:i/>
          <w:sz w:val="24"/>
          <w:szCs w:val="24"/>
        </w:rPr>
        <w:t xml:space="preserve">“Por el cual se modifica el artículo 34 de la Constitución Política. (Prisión para violadores).”: </w:t>
      </w:r>
      <w:r w:rsidRPr="002D6F59">
        <w:rPr>
          <w:rFonts w:ascii="Century Gothic" w:hAnsi="Century Gothic" w:cs="Arial"/>
          <w:sz w:val="24"/>
          <w:szCs w:val="24"/>
        </w:rPr>
        <w:t>Fue radicado el 01 de abril de 2008 por Guillermo Antonio Santos, Pedro Nelson Parra, entre otros y archivado por vencimiento de términos el 20 de junio de 2008.</w:t>
      </w:r>
    </w:p>
    <w:p w14:paraId="1569174D" w14:textId="77777777" w:rsidR="00793F85" w:rsidRPr="002D6F59" w:rsidRDefault="00793F85" w:rsidP="00024C68">
      <w:pPr>
        <w:pStyle w:val="Prrafodelista"/>
        <w:spacing w:after="0" w:line="240" w:lineRule="auto"/>
        <w:ind w:left="360"/>
        <w:jc w:val="both"/>
        <w:rPr>
          <w:rFonts w:ascii="Century Gothic" w:hAnsi="Century Gothic" w:cs="Arial"/>
          <w:i/>
          <w:sz w:val="24"/>
          <w:szCs w:val="24"/>
        </w:rPr>
      </w:pPr>
    </w:p>
    <w:p w14:paraId="78008882" w14:textId="2DB3D16B" w:rsidR="00BC121A" w:rsidRPr="002D6F59" w:rsidRDefault="00793F85" w:rsidP="00B17AB2">
      <w:pPr>
        <w:pStyle w:val="Prrafodelista"/>
        <w:numPr>
          <w:ilvl w:val="0"/>
          <w:numId w:val="13"/>
        </w:numPr>
        <w:spacing w:after="0"/>
        <w:jc w:val="both"/>
        <w:rPr>
          <w:rFonts w:ascii="Century Gothic" w:hAnsi="Century Gothic" w:cs="Arial"/>
          <w:i/>
          <w:sz w:val="24"/>
          <w:szCs w:val="24"/>
        </w:rPr>
      </w:pPr>
      <w:r w:rsidRPr="002D6F59">
        <w:rPr>
          <w:rFonts w:ascii="Century Gothic" w:hAnsi="Century Gothic" w:cs="Arial"/>
          <w:sz w:val="24"/>
          <w:szCs w:val="24"/>
        </w:rPr>
        <w:t>Proyecto de Acto Legislativo 23 de 2007 Cámara acumulado con</w:t>
      </w:r>
      <w:r w:rsidRPr="002D6F59">
        <w:rPr>
          <w:rFonts w:ascii="Century Gothic" w:hAnsi="Century Gothic" w:cs="Arial"/>
          <w:i/>
          <w:sz w:val="24"/>
          <w:szCs w:val="24"/>
        </w:rPr>
        <w:t xml:space="preserve"> </w:t>
      </w:r>
      <w:r w:rsidRPr="002D6F59">
        <w:rPr>
          <w:rFonts w:ascii="Century Gothic" w:hAnsi="Century Gothic" w:cs="Arial"/>
          <w:sz w:val="24"/>
          <w:szCs w:val="24"/>
        </w:rPr>
        <w:t>el</w:t>
      </w:r>
      <w:r w:rsidRPr="002D6F59">
        <w:rPr>
          <w:rFonts w:ascii="Century Gothic" w:hAnsi="Century Gothic" w:cs="Arial"/>
          <w:i/>
          <w:sz w:val="24"/>
          <w:szCs w:val="24"/>
        </w:rPr>
        <w:t xml:space="preserve"> </w:t>
      </w:r>
      <w:r w:rsidRPr="002D6F59">
        <w:rPr>
          <w:rFonts w:ascii="Century Gothic" w:hAnsi="Century Gothic" w:cs="Arial"/>
          <w:sz w:val="24"/>
          <w:szCs w:val="24"/>
        </w:rPr>
        <w:t xml:space="preserve">Proyecto de Acto Legislativo 38 de 2007 Cámara </w:t>
      </w:r>
      <w:r w:rsidRPr="002D6F59">
        <w:rPr>
          <w:rFonts w:ascii="Century Gothic" w:hAnsi="Century Gothic" w:cs="Arial"/>
          <w:i/>
          <w:sz w:val="24"/>
          <w:szCs w:val="24"/>
        </w:rPr>
        <w:t xml:space="preserve">“Por medio del cual se modifica el artículo 34 de la Constitución Política”: </w:t>
      </w:r>
      <w:r w:rsidRPr="002D6F59">
        <w:rPr>
          <w:rFonts w:ascii="Century Gothic" w:hAnsi="Century Gothic" w:cs="Arial"/>
          <w:sz w:val="24"/>
          <w:szCs w:val="24"/>
        </w:rPr>
        <w:t>Fue radicado el 20 de julio de 2007 por Guillermo Antonio Santos, Clara Isabel Pinillos, entre otros y retirado el 7 de noviembre de 2007.</w:t>
      </w:r>
    </w:p>
    <w:p w14:paraId="1BA8F7BE" w14:textId="77777777" w:rsidR="00793F85" w:rsidRPr="002D6F59" w:rsidRDefault="00793F85" w:rsidP="00B17AB2">
      <w:pPr>
        <w:pStyle w:val="Prrafodelista"/>
        <w:ind w:left="0"/>
        <w:jc w:val="both"/>
        <w:rPr>
          <w:rFonts w:ascii="Century Gothic" w:hAnsi="Century Gothic" w:cs="Arial"/>
          <w:sz w:val="24"/>
          <w:szCs w:val="24"/>
        </w:rPr>
      </w:pPr>
    </w:p>
    <w:p w14:paraId="0C78134E" w14:textId="382CDE9D" w:rsidR="00BC121A" w:rsidRPr="002D6F59" w:rsidRDefault="00BC121A" w:rsidP="00B17AB2">
      <w:pPr>
        <w:pStyle w:val="Prrafodelista"/>
        <w:numPr>
          <w:ilvl w:val="0"/>
          <w:numId w:val="30"/>
        </w:numPr>
        <w:spacing w:after="240"/>
        <w:jc w:val="center"/>
        <w:rPr>
          <w:rFonts w:ascii="Century Gothic" w:hAnsi="Century Gothic" w:cs="Arial"/>
          <w:b/>
          <w:color w:val="000000" w:themeColor="text1"/>
          <w:sz w:val="24"/>
          <w:szCs w:val="24"/>
        </w:rPr>
      </w:pPr>
      <w:r w:rsidRPr="002D6F59">
        <w:rPr>
          <w:rFonts w:ascii="Century Gothic" w:hAnsi="Century Gothic" w:cs="Arial"/>
          <w:b/>
          <w:color w:val="000000" w:themeColor="text1"/>
          <w:sz w:val="24"/>
          <w:szCs w:val="24"/>
        </w:rPr>
        <w:lastRenderedPageBreak/>
        <w:t>LAS RAZONES DEL LLAMAMIENTO AL CONGRESO PARA LEGISLAR SOBRE LA MATERIA</w:t>
      </w:r>
    </w:p>
    <w:p w14:paraId="5B5A4CEE" w14:textId="5149051E" w:rsidR="00814CB0" w:rsidRPr="002D6F59" w:rsidRDefault="00814CB0" w:rsidP="00B17AB2">
      <w:pPr>
        <w:spacing w:line="276" w:lineRule="auto"/>
        <w:jc w:val="both"/>
        <w:rPr>
          <w:rFonts w:ascii="Century Gothic" w:hAnsi="Century Gothic" w:cs="Arial"/>
          <w:lang w:val="es-ES"/>
        </w:rPr>
      </w:pPr>
      <w:r w:rsidRPr="002D6F59">
        <w:rPr>
          <w:rFonts w:ascii="Century Gothic" w:hAnsi="Century Gothic" w:cs="Arial"/>
          <w:lang w:val="es-ES"/>
        </w:rPr>
        <w:t>Ante los hechos que avasallan a la sociedad colombiana de la violencia contra los niños, niñas y adolescentes, que bajo graves conductas crueles e inhumanas han sido raptados para someterlos a todo tipo de vejámen</w:t>
      </w:r>
      <w:r w:rsidR="001E57EB">
        <w:rPr>
          <w:rFonts w:ascii="Century Gothic" w:hAnsi="Century Gothic" w:cs="Arial"/>
          <w:lang w:val="es-ES"/>
        </w:rPr>
        <w:t xml:space="preserve">es sexuales y luego asesinarlos, </w:t>
      </w:r>
      <w:r w:rsidRPr="002D6F59">
        <w:rPr>
          <w:rFonts w:ascii="Century Gothic" w:hAnsi="Century Gothic" w:cs="Arial"/>
          <w:lang w:val="es-ES"/>
        </w:rPr>
        <w:t>son delitos que generan un reacción social, y es quizás en nuestra sociedad de los pocos hechos que no nos llevan a una anomia social que nos ha marcado los esquemas de violencia presentes en nuestra historia y en nuestras generaciones, que ya no nos permite reaccionar ante el daño social que genera la misma violencia.</w:t>
      </w:r>
    </w:p>
    <w:p w14:paraId="23A84B2D" w14:textId="77777777" w:rsidR="00814CB0" w:rsidRPr="002D6F59" w:rsidRDefault="00814CB0" w:rsidP="00B17AB2">
      <w:pPr>
        <w:jc w:val="both"/>
        <w:rPr>
          <w:rFonts w:ascii="Century Gothic" w:hAnsi="Century Gothic" w:cs="Arial"/>
          <w:lang w:val="es-ES"/>
        </w:rPr>
      </w:pPr>
    </w:p>
    <w:p w14:paraId="155554D2" w14:textId="49AC457C" w:rsidR="00814CB0" w:rsidRPr="002D6F59" w:rsidRDefault="00814CB0" w:rsidP="00B17AB2">
      <w:pPr>
        <w:spacing w:line="276" w:lineRule="auto"/>
        <w:jc w:val="both"/>
        <w:rPr>
          <w:rFonts w:ascii="Century Gothic" w:hAnsi="Century Gothic" w:cs="Arial"/>
          <w:lang w:val="es-ES"/>
        </w:rPr>
      </w:pPr>
      <w:r w:rsidRPr="002D6F59">
        <w:rPr>
          <w:rFonts w:ascii="Century Gothic" w:hAnsi="Century Gothic" w:cs="Arial"/>
          <w:lang w:val="es-ES"/>
        </w:rPr>
        <w:t xml:space="preserve">Esta reacción social de rechazo a este tipo de crímenes y su acuerdo frente a la imposición de la </w:t>
      </w:r>
      <w:r w:rsidR="00FD385B">
        <w:rPr>
          <w:rFonts w:ascii="Century Gothic" w:hAnsi="Century Gothic" w:cs="Arial"/>
          <w:lang w:val="es-ES"/>
        </w:rPr>
        <w:t>prisión</w:t>
      </w:r>
      <w:r w:rsidRPr="002D6F59">
        <w:rPr>
          <w:rFonts w:ascii="Century Gothic" w:hAnsi="Century Gothic" w:cs="Arial"/>
          <w:lang w:val="es-ES"/>
        </w:rPr>
        <w:t xml:space="preserve"> perpetua se ha banalizado</w:t>
      </w:r>
      <w:r w:rsidR="001E57EB">
        <w:rPr>
          <w:rFonts w:ascii="Century Gothic" w:hAnsi="Century Gothic" w:cs="Arial"/>
          <w:lang w:val="es-ES"/>
        </w:rPr>
        <w:t>,</w:t>
      </w:r>
      <w:r w:rsidRPr="002D6F59">
        <w:rPr>
          <w:rFonts w:ascii="Century Gothic" w:hAnsi="Century Gothic" w:cs="Arial"/>
          <w:lang w:val="es-ES"/>
        </w:rPr>
        <w:t xml:space="preserve"> al considerarse populismo punitivo y considerar que este tipo de iniciativas sólo buscan generar un favor de la opinión hacia el gobierno o los parlamentarios que la apoyan, banalización que irrumpe el cauce normal de la democracia, en cuanto es a través de los partidos políticos con representación política, que se da respuesta a las demandas ciudadanas. </w:t>
      </w:r>
    </w:p>
    <w:p w14:paraId="62AB161B" w14:textId="77777777" w:rsidR="00814CB0" w:rsidRPr="002D6F59" w:rsidRDefault="00814CB0" w:rsidP="00B17AB2">
      <w:pPr>
        <w:jc w:val="both"/>
        <w:rPr>
          <w:rFonts w:ascii="Century Gothic" w:hAnsi="Century Gothic" w:cs="Arial"/>
          <w:lang w:val="es-ES"/>
        </w:rPr>
      </w:pPr>
    </w:p>
    <w:p w14:paraId="05A3BBFB" w14:textId="26A63A4E" w:rsidR="00814CB0" w:rsidRPr="002D6F59" w:rsidRDefault="00814CB0" w:rsidP="00B17AB2">
      <w:pPr>
        <w:spacing w:line="276" w:lineRule="auto"/>
        <w:jc w:val="both"/>
        <w:rPr>
          <w:rFonts w:ascii="Century Gothic" w:hAnsi="Century Gothic" w:cs="Arial"/>
        </w:rPr>
      </w:pPr>
      <w:r w:rsidRPr="002D6F59">
        <w:rPr>
          <w:rFonts w:ascii="Century Gothic" w:hAnsi="Century Gothic" w:cs="Arial"/>
          <w:lang w:val="es-ES"/>
        </w:rPr>
        <w:t>Sin embargo</w:t>
      </w:r>
      <w:r w:rsidR="00D13A89" w:rsidRPr="002D6F59">
        <w:rPr>
          <w:rFonts w:ascii="Century Gothic" w:hAnsi="Century Gothic" w:cs="Arial"/>
          <w:lang w:val="es-ES"/>
        </w:rPr>
        <w:t>,</w:t>
      </w:r>
      <w:r w:rsidRPr="002D6F59">
        <w:rPr>
          <w:rFonts w:ascii="Century Gothic" w:hAnsi="Century Gothic" w:cs="Arial"/>
          <w:lang w:val="es-ES"/>
        </w:rPr>
        <w:t xml:space="preserve"> teniendo como parámetro el que el proyecto de acto legislativo busca modificar el artículo 34 de la Constitución Nacional que establece en su inciso primero: </w:t>
      </w:r>
      <w:r w:rsidRPr="002D6F59">
        <w:rPr>
          <w:rFonts w:ascii="Century Gothic" w:hAnsi="Century Gothic" w:cs="Arial"/>
          <w:i/>
          <w:lang w:val="es-ES"/>
        </w:rPr>
        <w:t>“</w:t>
      </w:r>
      <w:r w:rsidRPr="002D6F59">
        <w:rPr>
          <w:rFonts w:ascii="Century Gothic" w:hAnsi="Century Gothic" w:cs="Arial"/>
          <w:i/>
        </w:rPr>
        <w:t xml:space="preserve">Se prohíben las penas de destierro, </w:t>
      </w:r>
      <w:r w:rsidR="00D13A89" w:rsidRPr="002D6F59">
        <w:rPr>
          <w:rFonts w:ascii="Century Gothic" w:hAnsi="Century Gothic" w:cs="Arial"/>
          <w:i/>
        </w:rPr>
        <w:t>prisión perpetua y confiscación</w:t>
      </w:r>
      <w:r w:rsidRPr="002D6F59">
        <w:rPr>
          <w:rFonts w:ascii="Century Gothic" w:hAnsi="Century Gothic" w:cs="Arial"/>
          <w:i/>
        </w:rPr>
        <w:t>”</w:t>
      </w:r>
      <w:r w:rsidRPr="002D6F59">
        <w:rPr>
          <w:rFonts w:ascii="Century Gothic" w:hAnsi="Century Gothic" w:cs="Arial"/>
        </w:rPr>
        <w:t xml:space="preserve">, que consagra como principio la prohibición de la prisión perpetua, ello implica afectación de derechos fundamentales, por lo cual no es suficiente el querer de las mayorías para </w:t>
      </w:r>
      <w:r w:rsidR="001E57EB">
        <w:rPr>
          <w:rFonts w:ascii="Century Gothic" w:hAnsi="Century Gothic" w:cs="Arial"/>
        </w:rPr>
        <w:t>considerar acorde al Estado de D</w:t>
      </w:r>
      <w:r w:rsidRPr="002D6F59">
        <w:rPr>
          <w:rFonts w:ascii="Century Gothic" w:hAnsi="Century Gothic" w:cs="Arial"/>
        </w:rPr>
        <w:t xml:space="preserve">erecho la modificación propuesta, pues ello implicaría una visión utilitarista al considerar como mejor opción la que más contribuye el bienestar general o satisface mayor cantidad de intereses, en caso de dudas sobre la mejor política a adoptar, pero que implica sacrificar a unas partes de la sociedad en virtud de las restantes. </w:t>
      </w:r>
    </w:p>
    <w:p w14:paraId="637494A0" w14:textId="77777777" w:rsidR="002442EA" w:rsidRPr="002D6F59" w:rsidRDefault="002442EA" w:rsidP="002D6F59">
      <w:pPr>
        <w:jc w:val="both"/>
        <w:rPr>
          <w:rFonts w:ascii="Century Gothic" w:hAnsi="Century Gothic" w:cs="Arial"/>
        </w:rPr>
      </w:pPr>
    </w:p>
    <w:p w14:paraId="306C0234" w14:textId="4F331FD9" w:rsidR="00D13A89" w:rsidRPr="002A5EED" w:rsidRDefault="00814CB0" w:rsidP="002A5EED">
      <w:pPr>
        <w:spacing w:line="276" w:lineRule="auto"/>
        <w:jc w:val="both"/>
        <w:rPr>
          <w:rFonts w:ascii="Century Gothic" w:hAnsi="Century Gothic" w:cs="Arial"/>
        </w:rPr>
      </w:pPr>
      <w:r w:rsidRPr="002D6F59">
        <w:rPr>
          <w:rFonts w:ascii="Century Gothic" w:hAnsi="Century Gothic" w:cs="Arial"/>
        </w:rPr>
        <w:t>Por ello este proyecto requiere de un legislador prudente y razonado frente a los argumentos que se enfrentan y en esta ponencia se hace necesario examinarlos para generar un debate acertado en un tema tan sensible y de alta transce</w:t>
      </w:r>
      <w:r w:rsidR="002442EA" w:rsidRPr="002D6F59">
        <w:rPr>
          <w:rFonts w:ascii="Century Gothic" w:hAnsi="Century Gothic" w:cs="Arial"/>
        </w:rPr>
        <w:t>ndencia jurídica constitucional, que permita exponer un razonamiento sustentado del llamamiento al Congreso para legislar sobre esta materia.</w:t>
      </w:r>
    </w:p>
    <w:p w14:paraId="0D32602A" w14:textId="3FAE7AE8" w:rsidR="00BC121A" w:rsidRPr="002D68BE" w:rsidRDefault="00BF34B3" w:rsidP="00B17AB2">
      <w:pPr>
        <w:pStyle w:val="Prrafodelista"/>
        <w:numPr>
          <w:ilvl w:val="0"/>
          <w:numId w:val="46"/>
        </w:numPr>
        <w:rPr>
          <w:rFonts w:ascii="Century Gothic" w:hAnsi="Century Gothic" w:cs="Arial"/>
          <w:b/>
        </w:rPr>
      </w:pPr>
      <w:r w:rsidRPr="002D68BE">
        <w:rPr>
          <w:rFonts w:ascii="Century Gothic" w:hAnsi="Century Gothic" w:cs="Arial"/>
          <w:b/>
        </w:rPr>
        <w:lastRenderedPageBreak/>
        <w:t>PRISIÓN</w:t>
      </w:r>
      <w:r w:rsidR="00BC121A" w:rsidRPr="002D68BE">
        <w:rPr>
          <w:rFonts w:ascii="Century Gothic" w:hAnsi="Century Gothic" w:cs="Arial"/>
          <w:b/>
        </w:rPr>
        <w:t xml:space="preserve"> PERPETUA EN LA LEGISLACIÓN COMPARADA</w:t>
      </w:r>
      <w:r w:rsidR="00D13A89" w:rsidRPr="002D68BE">
        <w:rPr>
          <w:rFonts w:ascii="Century Gothic" w:hAnsi="Century Gothic" w:cs="Arial"/>
          <w:b/>
        </w:rPr>
        <w:t>.</w:t>
      </w:r>
    </w:p>
    <w:p w14:paraId="541CC79F" w14:textId="77777777" w:rsidR="00251E2E" w:rsidRPr="002D68BE" w:rsidRDefault="00251E2E" w:rsidP="005627A0">
      <w:pPr>
        <w:pStyle w:val="Prrafodelista"/>
        <w:spacing w:after="0" w:line="240" w:lineRule="auto"/>
        <w:ind w:left="0"/>
        <w:rPr>
          <w:rFonts w:ascii="Century Gothic" w:hAnsi="Century Gothic" w:cs="Arial"/>
          <w:b/>
          <w:sz w:val="24"/>
          <w:szCs w:val="24"/>
        </w:rPr>
      </w:pPr>
    </w:p>
    <w:p w14:paraId="1E587C33" w14:textId="74BF3C65" w:rsidR="00BF4CE9" w:rsidRDefault="00BC121A" w:rsidP="00A05413">
      <w:pPr>
        <w:spacing w:line="276" w:lineRule="auto"/>
        <w:jc w:val="both"/>
        <w:rPr>
          <w:rFonts w:ascii="Century Gothic" w:hAnsi="Century Gothic" w:cs="Arial"/>
        </w:rPr>
      </w:pPr>
      <w:r w:rsidRPr="002D68BE">
        <w:rPr>
          <w:rFonts w:ascii="Century Gothic" w:hAnsi="Century Gothic" w:cs="Arial"/>
        </w:rPr>
        <w:t xml:space="preserve">Si se revisa la legislación comparada, puede observarse que la </w:t>
      </w:r>
      <w:r w:rsidR="006B62F4">
        <w:rPr>
          <w:rFonts w:ascii="Century Gothic" w:hAnsi="Century Gothic" w:cs="Arial"/>
        </w:rPr>
        <w:t>prisión</w:t>
      </w:r>
      <w:r w:rsidRPr="002D68BE">
        <w:rPr>
          <w:rFonts w:ascii="Century Gothic" w:hAnsi="Century Gothic" w:cs="Arial"/>
        </w:rPr>
        <w:t xml:space="preserve"> perpetua se encuentra inmersa en los ordenamientos</w:t>
      </w:r>
      <w:r w:rsidRPr="002D6F59">
        <w:rPr>
          <w:rFonts w:ascii="Century Gothic" w:hAnsi="Century Gothic" w:cs="Arial"/>
        </w:rPr>
        <w:t xml:space="preserve"> jurídicos de varios paíse</w:t>
      </w:r>
      <w:r w:rsidR="00D13A89" w:rsidRPr="002D6F59">
        <w:rPr>
          <w:rFonts w:ascii="Century Gothic" w:hAnsi="Century Gothic" w:cs="Arial"/>
        </w:rPr>
        <w:t xml:space="preserve">s. En efecto, muchos estados </w:t>
      </w:r>
      <w:r w:rsidRPr="002D6F59">
        <w:rPr>
          <w:rFonts w:ascii="Century Gothic" w:hAnsi="Century Gothic" w:cs="Arial"/>
        </w:rPr>
        <w:t>considera</w:t>
      </w:r>
      <w:r w:rsidR="00D13A89" w:rsidRPr="002D6F59">
        <w:rPr>
          <w:rFonts w:ascii="Century Gothic" w:hAnsi="Century Gothic" w:cs="Arial"/>
        </w:rPr>
        <w:t>n</w:t>
      </w:r>
      <w:r w:rsidRPr="002D6F59">
        <w:rPr>
          <w:rFonts w:ascii="Century Gothic" w:hAnsi="Century Gothic" w:cs="Arial"/>
        </w:rPr>
        <w:t xml:space="preserve"> </w:t>
      </w:r>
      <w:r w:rsidR="00E708B5" w:rsidRPr="002D6F59">
        <w:rPr>
          <w:rFonts w:ascii="Century Gothic" w:hAnsi="Century Gothic" w:cs="Arial"/>
        </w:rPr>
        <w:t>que,</w:t>
      </w:r>
      <w:r w:rsidRPr="002D6F59">
        <w:rPr>
          <w:rFonts w:ascii="Century Gothic" w:hAnsi="Century Gothic" w:cs="Arial"/>
        </w:rPr>
        <w:t xml:space="preserve"> para proteger los bienes jurídicos de sus asociados, resulta necesario imponer penas que restrinjan de manera permanente y excepcional la libertad de los agresores, cuando se trata de delitos que afectan gravemente a los niños, niñas y adolescentes, así como de otras conductas, que según</w:t>
      </w:r>
      <w:r w:rsidR="007C3816" w:rsidRPr="002D6F59">
        <w:rPr>
          <w:rFonts w:ascii="Century Gothic" w:hAnsi="Century Gothic" w:cs="Arial"/>
        </w:rPr>
        <w:t xml:space="preserve"> la realidad jurídico política y</w:t>
      </w:r>
      <w:r w:rsidRPr="002D6F59">
        <w:rPr>
          <w:rFonts w:ascii="Century Gothic" w:hAnsi="Century Gothic" w:cs="Arial"/>
        </w:rPr>
        <w:t xml:space="preserve"> social de cada país, han entendido debe ser protegidos con la máxima pena posible en cuanto a </w:t>
      </w:r>
      <w:r w:rsidR="00BF4CE9">
        <w:rPr>
          <w:rFonts w:ascii="Century Gothic" w:hAnsi="Century Gothic" w:cs="Arial"/>
        </w:rPr>
        <w:t xml:space="preserve">la </w:t>
      </w:r>
      <w:r w:rsidRPr="002D6F59">
        <w:rPr>
          <w:rFonts w:ascii="Century Gothic" w:hAnsi="Century Gothic" w:cs="Arial"/>
        </w:rPr>
        <w:t xml:space="preserve">privación de la libertad. </w:t>
      </w:r>
    </w:p>
    <w:p w14:paraId="25D61A60" w14:textId="77777777" w:rsidR="00BF4CE9" w:rsidRDefault="00BF4CE9" w:rsidP="00A05413">
      <w:pPr>
        <w:spacing w:line="276" w:lineRule="auto"/>
        <w:jc w:val="both"/>
        <w:rPr>
          <w:rFonts w:ascii="Century Gothic" w:hAnsi="Century Gothic" w:cs="Arial"/>
        </w:rPr>
      </w:pPr>
    </w:p>
    <w:p w14:paraId="6EA115F1" w14:textId="0C2E2778" w:rsidR="00BC121A" w:rsidRPr="002D6F59" w:rsidRDefault="00BC121A" w:rsidP="00A05413">
      <w:pPr>
        <w:spacing w:line="276" w:lineRule="auto"/>
        <w:jc w:val="both"/>
        <w:rPr>
          <w:rFonts w:ascii="Century Gothic" w:hAnsi="Century Gothic" w:cs="Arial"/>
        </w:rPr>
      </w:pPr>
      <w:r w:rsidRPr="002D6F59">
        <w:rPr>
          <w:rFonts w:ascii="Century Gothic" w:hAnsi="Century Gothic" w:cs="Arial"/>
        </w:rPr>
        <w:t xml:space="preserve">No es de extrañar que muchos de estas naciones, que incluyen la </w:t>
      </w:r>
      <w:r w:rsidR="00FD385B">
        <w:rPr>
          <w:rFonts w:ascii="Century Gothic" w:hAnsi="Century Gothic" w:cs="Arial"/>
        </w:rPr>
        <w:t>prisión</w:t>
      </w:r>
      <w:r w:rsidRPr="002D6F59">
        <w:rPr>
          <w:rFonts w:ascii="Century Gothic" w:hAnsi="Century Gothic" w:cs="Arial"/>
        </w:rPr>
        <w:t xml:space="preserve"> perpetua como una posibilidad, son aquellas que son reconocidas </w:t>
      </w:r>
      <w:r w:rsidR="007C3816" w:rsidRPr="002D6F59">
        <w:rPr>
          <w:rFonts w:ascii="Century Gothic" w:hAnsi="Century Gothic" w:cs="Arial"/>
        </w:rPr>
        <w:t>por tener</w:t>
      </w:r>
      <w:r w:rsidRPr="002D6F59">
        <w:rPr>
          <w:rFonts w:ascii="Century Gothic" w:hAnsi="Century Gothic" w:cs="Arial"/>
        </w:rPr>
        <w:t xml:space="preserve"> los más altos estándares de protección de los derechos fundamentales, ya que la protección de dichos derechos no sólo se predica de quien recibe el </w:t>
      </w:r>
      <w:r w:rsidRPr="002D6F59">
        <w:rPr>
          <w:rFonts w:ascii="Century Gothic" w:hAnsi="Century Gothic" w:cs="Arial"/>
          <w:i/>
        </w:rPr>
        <w:t>ius puniendi</w:t>
      </w:r>
      <w:r w:rsidRPr="002D6F59">
        <w:rPr>
          <w:rFonts w:ascii="Century Gothic" w:hAnsi="Century Gothic" w:cs="Arial"/>
        </w:rPr>
        <w:t xml:space="preserve"> del estado, sino también de la sociedad y en especial de los menores.</w:t>
      </w:r>
    </w:p>
    <w:p w14:paraId="29C0457C" w14:textId="77777777" w:rsidR="00BF4CE9" w:rsidRDefault="00BF4CE9" w:rsidP="00B17AB2">
      <w:pPr>
        <w:spacing w:line="276" w:lineRule="auto"/>
        <w:jc w:val="both"/>
        <w:rPr>
          <w:rFonts w:ascii="Century Gothic" w:hAnsi="Century Gothic" w:cs="Arial"/>
        </w:rPr>
      </w:pPr>
    </w:p>
    <w:p w14:paraId="34D3BBAF" w14:textId="29E6B2BA"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Entre los países que cuentan</w:t>
      </w:r>
      <w:r w:rsidR="00BF4CE9">
        <w:rPr>
          <w:rFonts w:ascii="Century Gothic" w:hAnsi="Century Gothic" w:cs="Arial"/>
        </w:rPr>
        <w:t xml:space="preserve"> con la </w:t>
      </w:r>
      <w:r w:rsidR="0022424F">
        <w:rPr>
          <w:rFonts w:ascii="Century Gothic" w:hAnsi="Century Gothic" w:cs="Arial"/>
        </w:rPr>
        <w:t>prisión</w:t>
      </w:r>
      <w:r w:rsidR="00BF4CE9">
        <w:rPr>
          <w:rFonts w:ascii="Century Gothic" w:hAnsi="Century Gothic" w:cs="Arial"/>
        </w:rPr>
        <w:t xml:space="preserve"> perpetua está </w:t>
      </w:r>
      <w:r w:rsidRPr="00BF4CE9">
        <w:rPr>
          <w:rFonts w:ascii="Century Gothic" w:hAnsi="Century Gothic" w:cs="Arial"/>
          <w:b/>
        </w:rPr>
        <w:t>Inglaterra</w:t>
      </w:r>
      <w:r w:rsidRPr="002D6F59">
        <w:rPr>
          <w:rFonts w:ascii="Century Gothic" w:hAnsi="Century Gothic" w:cs="Arial"/>
        </w:rPr>
        <w:t xml:space="preserve">, en donde por regla general esta sanción es reversible y revisable. Sin embargo, en casos excepcionales, según la gravedad del delito y la reincidencia del autor, puede que la condena no tenga la posibilidad de ser reversible y elimina la posibilidad de libertad condicional. En este país, la cadena perpetua se aplica </w:t>
      </w:r>
      <w:r w:rsidR="00FD385B">
        <w:rPr>
          <w:rFonts w:ascii="Century Gothic" w:hAnsi="Century Gothic" w:cs="Arial"/>
        </w:rPr>
        <w:t xml:space="preserve">a </w:t>
      </w:r>
      <w:r w:rsidRPr="002D6F59">
        <w:rPr>
          <w:rFonts w:ascii="Century Gothic" w:hAnsi="Century Gothic" w:cs="Arial"/>
        </w:rPr>
        <w:t xml:space="preserve">casos de homicidios múltiples, abusos sexuales, secuestro, premeditación o terrorismo. </w:t>
      </w:r>
    </w:p>
    <w:p w14:paraId="39D3E93D" w14:textId="77777777" w:rsidR="00BC121A" w:rsidRPr="002D6F59" w:rsidRDefault="00BC121A" w:rsidP="005627A0">
      <w:pPr>
        <w:jc w:val="both"/>
        <w:rPr>
          <w:rFonts w:ascii="Century Gothic" w:hAnsi="Century Gothic" w:cs="Arial"/>
        </w:rPr>
      </w:pPr>
    </w:p>
    <w:p w14:paraId="65BDB8D6" w14:textId="77E2D075" w:rsidR="00BC121A" w:rsidRPr="002D6F59" w:rsidRDefault="007C3816" w:rsidP="00B17AB2">
      <w:pPr>
        <w:spacing w:line="276" w:lineRule="auto"/>
        <w:jc w:val="both"/>
        <w:rPr>
          <w:rFonts w:ascii="Century Gothic" w:hAnsi="Century Gothic" w:cs="Arial"/>
        </w:rPr>
      </w:pPr>
      <w:r w:rsidRPr="002D6F59">
        <w:rPr>
          <w:rFonts w:ascii="Century Gothic" w:hAnsi="Century Gothic" w:cs="Arial"/>
        </w:rPr>
        <w:t xml:space="preserve">Igualmente, </w:t>
      </w:r>
      <w:r w:rsidRPr="00BF4CE9">
        <w:rPr>
          <w:rFonts w:ascii="Century Gothic" w:hAnsi="Century Gothic" w:cs="Arial"/>
          <w:b/>
        </w:rPr>
        <w:t>E</w:t>
      </w:r>
      <w:r w:rsidR="00BC121A" w:rsidRPr="00BF4CE9">
        <w:rPr>
          <w:rFonts w:ascii="Century Gothic" w:hAnsi="Century Gothic" w:cs="Arial"/>
          <w:b/>
        </w:rPr>
        <w:t>stados Unidos</w:t>
      </w:r>
      <w:r w:rsidR="00BC121A" w:rsidRPr="002D6F59">
        <w:rPr>
          <w:rFonts w:ascii="Century Gothic" w:hAnsi="Century Gothic" w:cs="Arial"/>
        </w:rPr>
        <w:t xml:space="preserve">, dependiendo del estado, cuenta con la posibilidad de imponer una </w:t>
      </w:r>
      <w:r w:rsidR="005A76BA">
        <w:rPr>
          <w:rFonts w:ascii="Century Gothic" w:hAnsi="Century Gothic" w:cs="Arial"/>
        </w:rPr>
        <w:t xml:space="preserve">prisión </w:t>
      </w:r>
      <w:r w:rsidR="00BC121A" w:rsidRPr="002D6F59">
        <w:rPr>
          <w:rFonts w:ascii="Century Gothic" w:hAnsi="Century Gothic" w:cs="Arial"/>
        </w:rPr>
        <w:t xml:space="preserve">perpetua. En general, puede decirse que existen dos tipos de </w:t>
      </w:r>
      <w:r w:rsidR="005A76BA">
        <w:rPr>
          <w:rFonts w:ascii="Century Gothic" w:hAnsi="Century Gothic" w:cs="Arial"/>
        </w:rPr>
        <w:t>prisión</w:t>
      </w:r>
      <w:r w:rsidR="002442EA" w:rsidRPr="002D6F59">
        <w:rPr>
          <w:rFonts w:ascii="Century Gothic" w:hAnsi="Century Gothic" w:cs="Arial"/>
        </w:rPr>
        <w:t xml:space="preserve"> perpetua: en primer lugar, </w:t>
      </w:r>
      <w:r w:rsidR="00BC121A" w:rsidRPr="002D6F59">
        <w:rPr>
          <w:rFonts w:ascii="Century Gothic" w:hAnsi="Century Gothic" w:cs="Arial"/>
        </w:rPr>
        <w:t xml:space="preserve">está aquella que es revisable y en la </w:t>
      </w:r>
      <w:r w:rsidR="00E708B5" w:rsidRPr="002D6F59">
        <w:rPr>
          <w:rFonts w:ascii="Century Gothic" w:hAnsi="Century Gothic" w:cs="Arial"/>
        </w:rPr>
        <w:t>que,</w:t>
      </w:r>
      <w:r w:rsidR="00BC121A" w:rsidRPr="002D6F59">
        <w:rPr>
          <w:rFonts w:ascii="Century Gothic" w:hAnsi="Century Gothic" w:cs="Arial"/>
        </w:rPr>
        <w:t xml:space="preserve"> según circunstancias especiales, la persona que ha sido declarada culpable, puede acceder a la libertad condicional, después de permanecer el tiempo que fije el juez en prisión. En segundo lugar, encontramos la </w:t>
      </w:r>
      <w:r w:rsidR="005A76BA">
        <w:rPr>
          <w:rFonts w:ascii="Century Gothic" w:hAnsi="Century Gothic" w:cs="Arial"/>
        </w:rPr>
        <w:t>prisión</w:t>
      </w:r>
      <w:r w:rsidR="00BC121A" w:rsidRPr="002D6F59">
        <w:rPr>
          <w:rFonts w:ascii="Century Gothic" w:hAnsi="Century Gothic" w:cs="Arial"/>
        </w:rPr>
        <w:t xml:space="preserve"> perpetua que no puede ser revisada y que, por lo tanto, implica que la persona </w:t>
      </w:r>
      <w:r w:rsidRPr="002D6F59">
        <w:rPr>
          <w:rFonts w:ascii="Century Gothic" w:hAnsi="Century Gothic" w:cs="Arial"/>
        </w:rPr>
        <w:t xml:space="preserve">en </w:t>
      </w:r>
      <w:r w:rsidR="00BC121A" w:rsidRPr="002D6F59">
        <w:rPr>
          <w:rFonts w:ascii="Century Gothic" w:hAnsi="Century Gothic" w:cs="Arial"/>
        </w:rPr>
        <w:t>efecto permanecerá presa el resto de su vida.</w:t>
      </w:r>
    </w:p>
    <w:p w14:paraId="3786DB56" w14:textId="77777777" w:rsidR="00900E7B" w:rsidRPr="00900E7B" w:rsidRDefault="00900E7B" w:rsidP="00B17AB2">
      <w:pPr>
        <w:spacing w:line="276" w:lineRule="auto"/>
        <w:jc w:val="both"/>
        <w:rPr>
          <w:rFonts w:ascii="Century Gothic" w:hAnsi="Century Gothic" w:cs="Arial"/>
          <w:b/>
        </w:rPr>
      </w:pPr>
    </w:p>
    <w:p w14:paraId="3A68D38B" w14:textId="4A587CFF" w:rsidR="00BC121A" w:rsidRPr="002D6F59" w:rsidRDefault="00BC121A" w:rsidP="00B17AB2">
      <w:pPr>
        <w:spacing w:line="276" w:lineRule="auto"/>
        <w:jc w:val="both"/>
        <w:rPr>
          <w:rFonts w:ascii="Century Gothic" w:hAnsi="Century Gothic" w:cs="Arial"/>
        </w:rPr>
      </w:pPr>
      <w:r w:rsidRPr="00900E7B">
        <w:rPr>
          <w:rFonts w:ascii="Century Gothic" w:hAnsi="Century Gothic" w:cs="Arial"/>
          <w:b/>
        </w:rPr>
        <w:t>Alemania</w:t>
      </w:r>
      <w:r w:rsidRPr="002D6F59">
        <w:rPr>
          <w:rFonts w:ascii="Century Gothic" w:hAnsi="Century Gothic" w:cs="Arial"/>
        </w:rPr>
        <w:t xml:space="preserve">, por su parte, contempla una </w:t>
      </w:r>
      <w:r w:rsidR="005A76BA">
        <w:rPr>
          <w:rFonts w:ascii="Century Gothic" w:hAnsi="Century Gothic" w:cs="Arial"/>
        </w:rPr>
        <w:t>prisión</w:t>
      </w:r>
      <w:r w:rsidRPr="002D6F59">
        <w:rPr>
          <w:rFonts w:ascii="Century Gothic" w:hAnsi="Century Gothic" w:cs="Arial"/>
        </w:rPr>
        <w:t xml:space="preserve"> perpetua revisable que, según la gravedad del delito, tal solicitud de revisión se puede hacer solamente después de 15 años.</w:t>
      </w:r>
    </w:p>
    <w:p w14:paraId="62884141" w14:textId="77777777" w:rsidR="00BC121A" w:rsidRPr="002D6F59" w:rsidRDefault="00BC121A" w:rsidP="00B17AB2">
      <w:pPr>
        <w:jc w:val="both"/>
        <w:rPr>
          <w:rFonts w:ascii="Century Gothic" w:hAnsi="Century Gothic" w:cs="Arial"/>
        </w:rPr>
      </w:pPr>
    </w:p>
    <w:p w14:paraId="415330B3" w14:textId="43D36074" w:rsidR="00BC121A" w:rsidRDefault="00BC121A" w:rsidP="00B17AB2">
      <w:pPr>
        <w:spacing w:line="276" w:lineRule="auto"/>
        <w:jc w:val="both"/>
        <w:rPr>
          <w:rFonts w:ascii="Century Gothic" w:hAnsi="Century Gothic" w:cs="Arial"/>
        </w:rPr>
      </w:pPr>
      <w:r w:rsidRPr="00BF4CE9">
        <w:rPr>
          <w:rFonts w:ascii="Century Gothic" w:hAnsi="Century Gothic" w:cs="Arial"/>
          <w:b/>
        </w:rPr>
        <w:lastRenderedPageBreak/>
        <w:t>Francia</w:t>
      </w:r>
      <w:r w:rsidR="007C3816" w:rsidRPr="002D6F59">
        <w:rPr>
          <w:rFonts w:ascii="Century Gothic" w:hAnsi="Century Gothic" w:cs="Arial"/>
        </w:rPr>
        <w:t xml:space="preserve">, consagra la </w:t>
      </w:r>
      <w:r w:rsidR="005A76BA">
        <w:rPr>
          <w:rFonts w:ascii="Century Gothic" w:hAnsi="Century Gothic" w:cs="Arial"/>
        </w:rPr>
        <w:t>prisión</w:t>
      </w:r>
      <w:r w:rsidR="007C3816" w:rsidRPr="002D6F59">
        <w:rPr>
          <w:rFonts w:ascii="Century Gothic" w:hAnsi="Century Gothic" w:cs="Arial"/>
        </w:rPr>
        <w:t xml:space="preserve"> perpetua, e</w:t>
      </w:r>
      <w:r w:rsidRPr="002D6F59">
        <w:rPr>
          <w:rFonts w:ascii="Century Gothic" w:hAnsi="Century Gothic" w:cs="Arial"/>
        </w:rPr>
        <w:t>specialmente cuando se trata de delitos relacionados con el homicidio de menores de edad precedido de violencia sexual. También se ha ampliado para casos de terrorismo y homicidio de un servidor público.</w:t>
      </w:r>
    </w:p>
    <w:p w14:paraId="09212957" w14:textId="77777777" w:rsidR="002D6F59" w:rsidRPr="002D6F59" w:rsidRDefault="002D6F59" w:rsidP="002D6F59">
      <w:pPr>
        <w:jc w:val="both"/>
        <w:rPr>
          <w:rFonts w:ascii="Century Gothic" w:hAnsi="Century Gothic" w:cs="Arial"/>
        </w:rPr>
      </w:pPr>
    </w:p>
    <w:p w14:paraId="2F801FF1" w14:textId="1F9607BE" w:rsidR="00BC121A" w:rsidRDefault="00BC121A" w:rsidP="00B17AB2">
      <w:pPr>
        <w:spacing w:line="276" w:lineRule="auto"/>
        <w:jc w:val="both"/>
        <w:rPr>
          <w:rFonts w:ascii="Century Gothic" w:hAnsi="Century Gothic" w:cs="Arial"/>
        </w:rPr>
      </w:pPr>
      <w:r w:rsidRPr="00BF4CE9">
        <w:rPr>
          <w:rFonts w:ascii="Century Gothic" w:hAnsi="Century Gothic" w:cs="Arial"/>
          <w:b/>
        </w:rPr>
        <w:t>Bélgica</w:t>
      </w:r>
      <w:r w:rsidRPr="002D6F59">
        <w:rPr>
          <w:rFonts w:ascii="Century Gothic" w:hAnsi="Century Gothic" w:cs="Arial"/>
        </w:rPr>
        <w:t xml:space="preserve">, del mismo modo, contempla la </w:t>
      </w:r>
      <w:r w:rsidR="005A76BA">
        <w:rPr>
          <w:rFonts w:ascii="Century Gothic" w:hAnsi="Century Gothic" w:cs="Arial"/>
        </w:rPr>
        <w:t>prisión</w:t>
      </w:r>
      <w:r w:rsidRPr="002D6F59">
        <w:rPr>
          <w:rFonts w:ascii="Century Gothic" w:hAnsi="Century Gothic" w:cs="Arial"/>
        </w:rPr>
        <w:t xml:space="preserve"> perpetua que puede ser revisable sólo después de 15 </w:t>
      </w:r>
      <w:r w:rsidR="002442EA" w:rsidRPr="002D6F59">
        <w:rPr>
          <w:rFonts w:ascii="Century Gothic" w:hAnsi="Century Gothic" w:cs="Arial"/>
        </w:rPr>
        <w:t>años y, en</w:t>
      </w:r>
      <w:r w:rsidRPr="002D6F59">
        <w:rPr>
          <w:rFonts w:ascii="Century Gothic" w:hAnsi="Century Gothic" w:cs="Arial"/>
        </w:rPr>
        <w:t xml:space="preserve"> los casos de mayor gravedad, sólo después de 23 años.</w:t>
      </w:r>
    </w:p>
    <w:p w14:paraId="59B3CB21" w14:textId="77777777" w:rsidR="0031345C" w:rsidRPr="002D6F59" w:rsidRDefault="0031345C" w:rsidP="00B17AB2">
      <w:pPr>
        <w:spacing w:line="276" w:lineRule="auto"/>
        <w:jc w:val="both"/>
        <w:rPr>
          <w:rFonts w:ascii="Century Gothic" w:hAnsi="Century Gothic" w:cs="Arial"/>
        </w:rPr>
      </w:pPr>
    </w:p>
    <w:p w14:paraId="3FA412B2" w14:textId="036D8930"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Algo similar sucede en </w:t>
      </w:r>
      <w:r w:rsidRPr="00BF4CE9">
        <w:rPr>
          <w:rFonts w:ascii="Century Gothic" w:hAnsi="Century Gothic" w:cs="Arial"/>
          <w:b/>
        </w:rPr>
        <w:t>Holanda</w:t>
      </w:r>
      <w:r w:rsidRPr="002D6F59">
        <w:rPr>
          <w:rFonts w:ascii="Century Gothic" w:hAnsi="Century Gothic" w:cs="Arial"/>
        </w:rPr>
        <w:t xml:space="preserve">, donde existe una </w:t>
      </w:r>
      <w:r w:rsidR="005A76BA">
        <w:rPr>
          <w:rFonts w:ascii="Century Gothic" w:hAnsi="Century Gothic" w:cs="Arial"/>
        </w:rPr>
        <w:t>prisión</w:t>
      </w:r>
      <w:r w:rsidRPr="002D6F59">
        <w:rPr>
          <w:rFonts w:ascii="Century Gothic" w:hAnsi="Century Gothic" w:cs="Arial"/>
        </w:rPr>
        <w:t xml:space="preserve"> perpetua revisable sólo después de 27 años de prisión efectiva.</w:t>
      </w:r>
    </w:p>
    <w:p w14:paraId="146E1441" w14:textId="77777777" w:rsidR="00BC121A" w:rsidRPr="002D6F59" w:rsidRDefault="00BC121A" w:rsidP="002D6F59">
      <w:pPr>
        <w:jc w:val="both"/>
        <w:rPr>
          <w:rFonts w:ascii="Century Gothic" w:hAnsi="Century Gothic" w:cs="Arial"/>
        </w:rPr>
      </w:pPr>
    </w:p>
    <w:p w14:paraId="442AF6F1" w14:textId="7DC4BDA7" w:rsidR="00A05413" w:rsidRDefault="00BC121A" w:rsidP="00F340B3">
      <w:pPr>
        <w:spacing w:line="276" w:lineRule="auto"/>
        <w:jc w:val="both"/>
        <w:rPr>
          <w:rFonts w:ascii="Century Gothic" w:hAnsi="Century Gothic" w:cs="Arial"/>
        </w:rPr>
      </w:pPr>
      <w:r w:rsidRPr="002D6F59">
        <w:rPr>
          <w:rFonts w:ascii="Century Gothic" w:hAnsi="Century Gothic" w:cs="Arial"/>
        </w:rPr>
        <w:t>También está el</w:t>
      </w:r>
      <w:r w:rsidR="007C3816" w:rsidRPr="002D6F59">
        <w:rPr>
          <w:rFonts w:ascii="Century Gothic" w:hAnsi="Century Gothic" w:cs="Arial"/>
        </w:rPr>
        <w:t xml:space="preserve"> caso de </w:t>
      </w:r>
      <w:r w:rsidR="007C3816" w:rsidRPr="00BF4CE9">
        <w:rPr>
          <w:rFonts w:ascii="Century Gothic" w:hAnsi="Century Gothic" w:cs="Arial"/>
          <w:b/>
        </w:rPr>
        <w:t>Dinamarca</w:t>
      </w:r>
      <w:r w:rsidR="007C3816" w:rsidRPr="002D6F59">
        <w:rPr>
          <w:rFonts w:ascii="Century Gothic" w:hAnsi="Century Gothic" w:cs="Arial"/>
        </w:rPr>
        <w:t xml:space="preserve"> y </w:t>
      </w:r>
      <w:r w:rsidR="007C3816" w:rsidRPr="00BF4CE9">
        <w:rPr>
          <w:rFonts w:ascii="Century Gothic" w:hAnsi="Century Gothic" w:cs="Arial"/>
          <w:b/>
        </w:rPr>
        <w:t>Noruega</w:t>
      </w:r>
      <w:r w:rsidR="007C3816" w:rsidRPr="002D6F59">
        <w:rPr>
          <w:rFonts w:ascii="Century Gothic" w:hAnsi="Century Gothic" w:cs="Arial"/>
        </w:rPr>
        <w:t xml:space="preserve">, </w:t>
      </w:r>
      <w:r w:rsidRPr="002D6F59">
        <w:rPr>
          <w:rFonts w:ascii="Century Gothic" w:hAnsi="Century Gothic" w:cs="Arial"/>
        </w:rPr>
        <w:t xml:space="preserve">naciones que tienen una </w:t>
      </w:r>
      <w:r w:rsidR="005A76BA">
        <w:rPr>
          <w:rFonts w:ascii="Century Gothic" w:hAnsi="Century Gothic" w:cs="Arial"/>
        </w:rPr>
        <w:t>prisión</w:t>
      </w:r>
      <w:r w:rsidRPr="002D6F59">
        <w:rPr>
          <w:rFonts w:ascii="Century Gothic" w:hAnsi="Century Gothic" w:cs="Arial"/>
        </w:rPr>
        <w:t xml:space="preserve"> perpetua revisable, que se apli</w:t>
      </w:r>
      <w:r w:rsidR="007C3816" w:rsidRPr="002D6F59">
        <w:rPr>
          <w:rFonts w:ascii="Century Gothic" w:hAnsi="Century Gothic" w:cs="Arial"/>
        </w:rPr>
        <w:t>ca para los delitos más graves y</w:t>
      </w:r>
      <w:r w:rsidRPr="002D6F59">
        <w:rPr>
          <w:rFonts w:ascii="Century Gothic" w:hAnsi="Century Gothic" w:cs="Arial"/>
        </w:rPr>
        <w:t xml:space="preserve"> cuando exista posibilidad reincidencia.</w:t>
      </w:r>
    </w:p>
    <w:p w14:paraId="7FACB483" w14:textId="77777777" w:rsidR="0031345C" w:rsidRDefault="0031345C" w:rsidP="00F340B3">
      <w:pPr>
        <w:spacing w:line="276" w:lineRule="auto"/>
        <w:jc w:val="both"/>
        <w:rPr>
          <w:rFonts w:ascii="Century Gothic" w:hAnsi="Century Gothic" w:cs="Arial"/>
        </w:rPr>
      </w:pPr>
    </w:p>
    <w:p w14:paraId="04730043" w14:textId="70C9BFB0"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En Suramérica, tenemos los casos </w:t>
      </w:r>
      <w:r w:rsidR="002442EA" w:rsidRPr="002D6F59">
        <w:rPr>
          <w:rFonts w:ascii="Century Gothic" w:hAnsi="Century Gothic" w:cs="Arial"/>
        </w:rPr>
        <w:t xml:space="preserve">de </w:t>
      </w:r>
      <w:r w:rsidR="002442EA" w:rsidRPr="00BF4CE9">
        <w:rPr>
          <w:rFonts w:ascii="Century Gothic" w:hAnsi="Century Gothic" w:cs="Arial"/>
          <w:b/>
        </w:rPr>
        <w:t>Perú</w:t>
      </w:r>
      <w:r w:rsidRPr="002D6F59">
        <w:rPr>
          <w:rFonts w:ascii="Century Gothic" w:hAnsi="Century Gothic" w:cs="Arial"/>
        </w:rPr>
        <w:t xml:space="preserve">, </w:t>
      </w:r>
      <w:r w:rsidRPr="00BF4CE9">
        <w:rPr>
          <w:rFonts w:ascii="Century Gothic" w:hAnsi="Century Gothic" w:cs="Arial"/>
          <w:b/>
        </w:rPr>
        <w:t>Chile</w:t>
      </w:r>
      <w:r w:rsidRPr="00BF4CE9">
        <w:rPr>
          <w:rFonts w:ascii="Century Gothic" w:hAnsi="Century Gothic" w:cs="Arial"/>
        </w:rPr>
        <w:t>, y</w:t>
      </w:r>
      <w:r w:rsidRPr="00BF4CE9">
        <w:rPr>
          <w:rFonts w:ascii="Century Gothic" w:hAnsi="Century Gothic" w:cs="Arial"/>
          <w:b/>
        </w:rPr>
        <w:t xml:space="preserve"> Argentina</w:t>
      </w:r>
      <w:r w:rsidRPr="002D6F59">
        <w:rPr>
          <w:rFonts w:ascii="Century Gothic" w:hAnsi="Century Gothic" w:cs="Arial"/>
        </w:rPr>
        <w:t>, que</w:t>
      </w:r>
      <w:r w:rsidR="007C3816" w:rsidRPr="002D6F59">
        <w:rPr>
          <w:rFonts w:ascii="Century Gothic" w:hAnsi="Century Gothic" w:cs="Arial"/>
        </w:rPr>
        <w:t xml:space="preserve"> consagran la </w:t>
      </w:r>
      <w:r w:rsidR="005A76BA">
        <w:rPr>
          <w:rFonts w:ascii="Century Gothic" w:hAnsi="Century Gothic" w:cs="Arial"/>
        </w:rPr>
        <w:t>prisión</w:t>
      </w:r>
      <w:r w:rsidR="007C3816" w:rsidRPr="002D6F59">
        <w:rPr>
          <w:rFonts w:ascii="Century Gothic" w:hAnsi="Century Gothic" w:cs="Arial"/>
        </w:rPr>
        <w:t xml:space="preserve"> perpetua, e</w:t>
      </w:r>
      <w:r w:rsidRPr="002D6F59">
        <w:rPr>
          <w:rFonts w:ascii="Century Gothic" w:hAnsi="Century Gothic" w:cs="Arial"/>
        </w:rPr>
        <w:t>n la mayoría de los casos revisable, y aplicable a los casos más graves.</w:t>
      </w:r>
    </w:p>
    <w:p w14:paraId="4ADDBF77" w14:textId="77777777" w:rsidR="00BC121A" w:rsidRPr="002D6F59" w:rsidRDefault="00BC121A" w:rsidP="00B17AB2">
      <w:pPr>
        <w:jc w:val="both"/>
        <w:rPr>
          <w:rFonts w:ascii="Century Gothic" w:hAnsi="Century Gothic" w:cs="Arial"/>
        </w:rPr>
      </w:pPr>
    </w:p>
    <w:p w14:paraId="38071540" w14:textId="6C6CD8E0"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Por otro lado, no e</w:t>
      </w:r>
      <w:r w:rsidR="007C3816" w:rsidRPr="002D6F59">
        <w:rPr>
          <w:rFonts w:ascii="Century Gothic" w:hAnsi="Century Gothic" w:cs="Arial"/>
        </w:rPr>
        <w:t>s del todo cierto que no existe en</w:t>
      </w:r>
      <w:r w:rsidRPr="002D6F59">
        <w:rPr>
          <w:rFonts w:ascii="Century Gothic" w:hAnsi="Century Gothic" w:cs="Arial"/>
        </w:rPr>
        <w:t xml:space="preserve"> Colombia la </w:t>
      </w:r>
      <w:r w:rsidR="005A76BA">
        <w:rPr>
          <w:rFonts w:ascii="Century Gothic" w:hAnsi="Century Gothic" w:cs="Arial"/>
        </w:rPr>
        <w:t xml:space="preserve">prisión </w:t>
      </w:r>
      <w:r w:rsidRPr="002D6F59">
        <w:rPr>
          <w:rFonts w:ascii="Century Gothic" w:hAnsi="Century Gothic" w:cs="Arial"/>
        </w:rPr>
        <w:t xml:space="preserve">perpetua, ya que el Estatuto de la Corte Penal Internacional, la cual tiene jurisdicción residual sobre Colombia, tiene dentro de sus penas la </w:t>
      </w:r>
      <w:r w:rsidR="005A76BA">
        <w:rPr>
          <w:rFonts w:ascii="Century Gothic" w:hAnsi="Century Gothic" w:cs="Arial"/>
        </w:rPr>
        <w:t>prisión a perpetuidad</w:t>
      </w:r>
      <w:r w:rsidRPr="002D6F59">
        <w:rPr>
          <w:rFonts w:ascii="Century Gothic" w:hAnsi="Century Gothic" w:cs="Arial"/>
        </w:rPr>
        <w:t>, así que, por lo menos indirectamente este tipo de sanciones son aplicables:</w:t>
      </w:r>
    </w:p>
    <w:p w14:paraId="02C70AC0" w14:textId="77777777" w:rsidR="00BC121A" w:rsidRPr="002D6F59" w:rsidRDefault="00BC121A" w:rsidP="00B17AB2">
      <w:pPr>
        <w:spacing w:line="276" w:lineRule="auto"/>
        <w:jc w:val="both"/>
        <w:rPr>
          <w:rFonts w:ascii="Century Gothic" w:hAnsi="Century Gothic" w:cs="Arial"/>
        </w:rPr>
      </w:pPr>
    </w:p>
    <w:p w14:paraId="28F41AB4" w14:textId="77777777" w:rsidR="00BC121A" w:rsidRPr="002D6F59" w:rsidRDefault="00BC121A" w:rsidP="00B17AB2">
      <w:pPr>
        <w:spacing w:line="276" w:lineRule="auto"/>
        <w:ind w:left="851" w:right="616" w:hanging="284"/>
        <w:jc w:val="both"/>
        <w:rPr>
          <w:rFonts w:ascii="Century Gothic" w:hAnsi="Century Gothic" w:cs="Arial"/>
          <w:b/>
          <w:i/>
          <w:sz w:val="20"/>
          <w:szCs w:val="20"/>
        </w:rPr>
      </w:pPr>
      <w:r w:rsidRPr="002D6F59">
        <w:rPr>
          <w:rFonts w:ascii="Century Gothic" w:hAnsi="Century Gothic" w:cs="Arial"/>
          <w:b/>
          <w:bCs/>
          <w:i/>
          <w:sz w:val="20"/>
          <w:szCs w:val="20"/>
        </w:rPr>
        <w:t>ARTÍCULO 77: PENAS APLICABLES:</w:t>
      </w:r>
    </w:p>
    <w:p w14:paraId="37B132A7" w14:textId="77777777" w:rsidR="00BC121A" w:rsidRPr="002D6F59" w:rsidRDefault="00BC121A" w:rsidP="00B17AB2">
      <w:pPr>
        <w:spacing w:line="276" w:lineRule="auto"/>
        <w:ind w:left="851" w:right="616" w:hanging="284"/>
        <w:jc w:val="both"/>
        <w:rPr>
          <w:rFonts w:ascii="Century Gothic" w:hAnsi="Century Gothic" w:cs="Arial"/>
          <w:i/>
          <w:sz w:val="20"/>
          <w:szCs w:val="20"/>
        </w:rPr>
      </w:pPr>
    </w:p>
    <w:p w14:paraId="6D615A9C" w14:textId="01752826" w:rsidR="00BC121A" w:rsidRPr="002D6F59" w:rsidRDefault="00BC121A" w:rsidP="002D6F59">
      <w:pPr>
        <w:pStyle w:val="Prrafodelista"/>
        <w:numPr>
          <w:ilvl w:val="0"/>
          <w:numId w:val="41"/>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t>La Corte podrá, con sujeción a lo dispuesto en el artículo 110, imponer a la persona declarada culpable de uno de los crímenes a que se hace referencia en el artículo 5 del presente Estatuto una de las penas siguientes: </w:t>
      </w:r>
    </w:p>
    <w:p w14:paraId="407C1BAE" w14:textId="1AF5E23E" w:rsidR="00BC121A" w:rsidRPr="005A76BA" w:rsidRDefault="00BC121A" w:rsidP="005A76BA">
      <w:pPr>
        <w:pStyle w:val="Prrafodelista"/>
        <w:numPr>
          <w:ilvl w:val="0"/>
          <w:numId w:val="42"/>
        </w:numPr>
        <w:spacing w:after="0"/>
        <w:ind w:left="851" w:right="616" w:hanging="284"/>
        <w:jc w:val="both"/>
        <w:rPr>
          <w:rFonts w:ascii="Century Gothic" w:hAnsi="Century Gothic" w:cs="Arial"/>
          <w:i/>
          <w:sz w:val="20"/>
          <w:szCs w:val="20"/>
        </w:rPr>
      </w:pPr>
      <w:r w:rsidRPr="002D6F59">
        <w:rPr>
          <w:rFonts w:ascii="Century Gothic" w:hAnsi="Century Gothic" w:cs="Arial"/>
          <w:i/>
          <w:sz w:val="20"/>
          <w:szCs w:val="20"/>
        </w:rPr>
        <w:t>La reclusión por un número determinado de años que no exceda de 30 años; o </w:t>
      </w:r>
    </w:p>
    <w:p w14:paraId="743EB5FA" w14:textId="71B547C3" w:rsidR="00BC121A" w:rsidRPr="002D6F59" w:rsidRDefault="00BC121A" w:rsidP="00B17AB2">
      <w:pPr>
        <w:pStyle w:val="Prrafodelista"/>
        <w:numPr>
          <w:ilvl w:val="0"/>
          <w:numId w:val="42"/>
        </w:numPr>
        <w:spacing w:after="0"/>
        <w:ind w:left="851" w:right="616" w:hanging="284"/>
        <w:jc w:val="both"/>
        <w:rPr>
          <w:rFonts w:ascii="Century Gothic" w:hAnsi="Century Gothic" w:cs="Arial"/>
          <w:i/>
          <w:sz w:val="20"/>
          <w:szCs w:val="20"/>
        </w:rPr>
      </w:pPr>
      <w:r w:rsidRPr="005A76BA">
        <w:rPr>
          <w:rFonts w:ascii="Century Gothic" w:hAnsi="Century Gothic" w:cs="Arial"/>
          <w:b/>
          <w:i/>
          <w:sz w:val="20"/>
          <w:szCs w:val="20"/>
          <w:u w:val="thick"/>
        </w:rPr>
        <w:t>La reclusión a perpetuidad</w:t>
      </w:r>
      <w:r w:rsidRPr="002D6F59">
        <w:rPr>
          <w:rFonts w:ascii="Century Gothic" w:hAnsi="Century Gothic" w:cs="Arial"/>
          <w:i/>
          <w:sz w:val="20"/>
          <w:szCs w:val="20"/>
        </w:rPr>
        <w:t xml:space="preserve"> cuando lo justifiquen la extrema gravedad del crimen y las circunstancias personales del condenado. </w:t>
      </w:r>
      <w:r w:rsidR="005A76BA">
        <w:rPr>
          <w:rFonts w:ascii="Century Gothic" w:hAnsi="Century Gothic" w:cs="Arial"/>
          <w:i/>
          <w:sz w:val="20"/>
          <w:szCs w:val="20"/>
        </w:rPr>
        <w:t>(Negrilla fuera del texto)</w:t>
      </w:r>
    </w:p>
    <w:p w14:paraId="24D83ADF" w14:textId="77777777" w:rsidR="00BC121A" w:rsidRPr="002D6F59" w:rsidRDefault="00BC121A" w:rsidP="002D6F59">
      <w:pPr>
        <w:jc w:val="both"/>
        <w:rPr>
          <w:rFonts w:ascii="Century Gothic" w:hAnsi="Century Gothic" w:cs="Arial"/>
        </w:rPr>
      </w:pPr>
    </w:p>
    <w:p w14:paraId="5AB75550" w14:textId="77599741" w:rsidR="00BC121A" w:rsidRDefault="00BC121A" w:rsidP="00024C68">
      <w:pPr>
        <w:spacing w:line="276" w:lineRule="auto"/>
        <w:jc w:val="both"/>
        <w:rPr>
          <w:rFonts w:ascii="Century Gothic" w:hAnsi="Century Gothic" w:cs="Arial"/>
        </w:rPr>
      </w:pPr>
      <w:r w:rsidRPr="002D6F59">
        <w:rPr>
          <w:rFonts w:ascii="Century Gothic" w:hAnsi="Century Gothic" w:cs="Arial"/>
        </w:rPr>
        <w:t>Cómo puede</w:t>
      </w:r>
      <w:r w:rsidR="007C3816" w:rsidRPr="002D6F59">
        <w:rPr>
          <w:rFonts w:ascii="Century Gothic" w:hAnsi="Century Gothic" w:cs="Arial"/>
        </w:rPr>
        <w:t xml:space="preserve"> observarse, en muchos países, c</w:t>
      </w:r>
      <w:r w:rsidRPr="002D6F59">
        <w:rPr>
          <w:rFonts w:ascii="Century Gothic" w:hAnsi="Century Gothic" w:cs="Arial"/>
        </w:rPr>
        <w:t>aracterizados por tener un estado social y democrático de derecho,</w:t>
      </w:r>
      <w:r w:rsidR="007C3816" w:rsidRPr="002D6F59">
        <w:rPr>
          <w:rFonts w:ascii="Century Gothic" w:hAnsi="Century Gothic" w:cs="Arial"/>
        </w:rPr>
        <w:t xml:space="preserve"> como el colombiano, se aplica</w:t>
      </w:r>
      <w:r w:rsidRPr="002D6F59">
        <w:rPr>
          <w:rFonts w:ascii="Century Gothic" w:hAnsi="Century Gothic" w:cs="Arial"/>
        </w:rPr>
        <w:t xml:space="preserve"> la </w:t>
      </w:r>
      <w:r w:rsidR="009C5579">
        <w:rPr>
          <w:rFonts w:ascii="Century Gothic" w:hAnsi="Century Gothic" w:cs="Arial"/>
        </w:rPr>
        <w:t>prisión</w:t>
      </w:r>
      <w:r w:rsidRPr="002D6F59">
        <w:rPr>
          <w:rFonts w:ascii="Century Gothic" w:hAnsi="Century Gothic" w:cs="Arial"/>
        </w:rPr>
        <w:t xml:space="preserve"> perpetua para delitos que afectan gravemente a la sociedad </w:t>
      </w:r>
      <w:r w:rsidR="007C3816" w:rsidRPr="002D6F59">
        <w:rPr>
          <w:rFonts w:ascii="Century Gothic" w:hAnsi="Century Gothic" w:cs="Arial"/>
        </w:rPr>
        <w:t>y en</w:t>
      </w:r>
      <w:r w:rsidRPr="002D6F59">
        <w:rPr>
          <w:rFonts w:ascii="Century Gothic" w:hAnsi="Century Gothic" w:cs="Arial"/>
        </w:rPr>
        <w:t xml:space="preserve"> </w:t>
      </w:r>
      <w:r w:rsidRPr="002D6F59">
        <w:rPr>
          <w:rFonts w:ascii="Century Gothic" w:hAnsi="Century Gothic" w:cs="Arial"/>
        </w:rPr>
        <w:lastRenderedPageBreak/>
        <w:t>especial para los delitos relacionados con violencia sexu</w:t>
      </w:r>
      <w:r w:rsidR="007C3816" w:rsidRPr="002D6F59">
        <w:rPr>
          <w:rFonts w:ascii="Century Gothic" w:hAnsi="Century Gothic" w:cs="Arial"/>
        </w:rPr>
        <w:t>al en contra de niños, niñas</w:t>
      </w:r>
      <w:r w:rsidR="009C5579">
        <w:rPr>
          <w:rFonts w:ascii="Century Gothic" w:hAnsi="Century Gothic" w:cs="Arial"/>
        </w:rPr>
        <w:t xml:space="preserve"> </w:t>
      </w:r>
      <w:r w:rsidR="007C3816" w:rsidRPr="002D6F59">
        <w:rPr>
          <w:rFonts w:ascii="Century Gothic" w:hAnsi="Century Gothic" w:cs="Arial"/>
        </w:rPr>
        <w:t>y</w:t>
      </w:r>
      <w:r w:rsidRPr="002D6F59">
        <w:rPr>
          <w:rFonts w:ascii="Century Gothic" w:hAnsi="Century Gothic" w:cs="Arial"/>
        </w:rPr>
        <w:t xml:space="preserve"> adolescentes. Estos países han encontrado que esta medida es proporcional y una respuesta político crimin</w:t>
      </w:r>
      <w:r w:rsidR="00B37DB0" w:rsidRPr="002D6F59">
        <w:rPr>
          <w:rFonts w:ascii="Century Gothic" w:hAnsi="Century Gothic" w:cs="Arial"/>
        </w:rPr>
        <w:t>al adecuada para estos eventos.</w:t>
      </w:r>
    </w:p>
    <w:p w14:paraId="430C9E23" w14:textId="77777777" w:rsidR="002A5EED" w:rsidRDefault="002A5EED" w:rsidP="00024C68">
      <w:pPr>
        <w:spacing w:line="276" w:lineRule="auto"/>
        <w:jc w:val="both"/>
        <w:rPr>
          <w:rFonts w:ascii="Century Gothic" w:hAnsi="Century Gothic" w:cs="Arial"/>
        </w:rPr>
      </w:pPr>
    </w:p>
    <w:p w14:paraId="2A646159" w14:textId="77777777" w:rsidR="00C95129" w:rsidRPr="002D6F59" w:rsidRDefault="00C95129" w:rsidP="00C95129">
      <w:pPr>
        <w:pStyle w:val="Prrafodelista"/>
        <w:numPr>
          <w:ilvl w:val="0"/>
          <w:numId w:val="46"/>
        </w:numPr>
        <w:jc w:val="both"/>
        <w:rPr>
          <w:rFonts w:ascii="Century Gothic" w:hAnsi="Century Gothic" w:cs="Arial"/>
          <w:b/>
          <w:bCs/>
          <w:caps/>
        </w:rPr>
      </w:pPr>
      <w:r w:rsidRPr="002D6F59">
        <w:rPr>
          <w:rFonts w:ascii="Century Gothic" w:hAnsi="Century Gothic" w:cs="Arial"/>
          <w:b/>
          <w:bCs/>
          <w:caps/>
        </w:rPr>
        <w:t>Los tratados internacionales no prohíben LA PENA de prisión perpetua.</w:t>
      </w:r>
    </w:p>
    <w:p w14:paraId="67F76A79" w14:textId="77777777" w:rsidR="00C95129" w:rsidRPr="002D6F59" w:rsidRDefault="00C95129" w:rsidP="00C95129">
      <w:pPr>
        <w:spacing w:line="276" w:lineRule="auto"/>
        <w:jc w:val="both"/>
        <w:rPr>
          <w:rFonts w:ascii="Century Gothic" w:hAnsi="Century Gothic" w:cs="Arial"/>
        </w:rPr>
      </w:pPr>
      <w:r w:rsidRPr="002D6F59">
        <w:rPr>
          <w:rFonts w:ascii="Century Gothic" w:hAnsi="Century Gothic" w:cs="Arial"/>
        </w:rPr>
        <w:t xml:space="preserve">Si se revisan los tratados internacionales, ninguno de aquellos que ha sido ratificado por Colombia desaprueba expresamente la </w:t>
      </w:r>
      <w:r>
        <w:rPr>
          <w:rFonts w:ascii="Century Gothic" w:hAnsi="Century Gothic" w:cs="Arial"/>
        </w:rPr>
        <w:t>prisión</w:t>
      </w:r>
      <w:r w:rsidRPr="002D6F59">
        <w:rPr>
          <w:rFonts w:ascii="Century Gothic" w:hAnsi="Century Gothic" w:cs="Arial"/>
        </w:rPr>
        <w:t xml:space="preserve"> perpetua. Por el contrario, como se indicó muchos de los países que han ratificado estos tratados tienen dentro de su legislación la posibilidad de imponer penas de prisión perpetua, cuando se trata de delitos graves, particularmente, los delitos sexuales que se cometen en contra de los niños, niñas y adolescentes. </w:t>
      </w:r>
    </w:p>
    <w:p w14:paraId="19BC8751" w14:textId="77777777" w:rsidR="00C95129" w:rsidRPr="002D6F59" w:rsidRDefault="00C95129" w:rsidP="00C95129">
      <w:pPr>
        <w:spacing w:line="276" w:lineRule="auto"/>
        <w:jc w:val="both"/>
        <w:rPr>
          <w:rFonts w:ascii="Century Gothic" w:hAnsi="Century Gothic" w:cs="Arial"/>
        </w:rPr>
      </w:pPr>
    </w:p>
    <w:p w14:paraId="709FDC5B" w14:textId="77777777" w:rsidR="00C95129" w:rsidRDefault="00C95129" w:rsidP="00C95129">
      <w:pPr>
        <w:spacing w:line="276" w:lineRule="auto"/>
        <w:jc w:val="both"/>
        <w:rPr>
          <w:rFonts w:ascii="Century Gothic" w:hAnsi="Century Gothic" w:cs="Arial"/>
        </w:rPr>
      </w:pPr>
      <w:r w:rsidRPr="002D6F59">
        <w:rPr>
          <w:rFonts w:ascii="Century Gothic" w:hAnsi="Century Gothic" w:cs="Arial"/>
        </w:rPr>
        <w:t>Lo que sí está prohibido en varios instrumentos internacionales es someter a las personas a penas que pueden ser consideradas crueles, inhumanas o degradantes, como también lo hace el artículo 34 de nuestra carta política. Así, por ejemplo, la Convención Americana sobre Derechos Humanos adoptada por Colombia, establece en su Artículo 5, Numeral 2, la prohibición para los estados de someter a la persona a torturas o penas crueles, inhumanas y degradantes. Igualmente, la Convención para Prevenir y Sancionar la Tortura y Penas Crueles, Inhumanas y Degradantes, estipula en su Artículo 16, Numeral 1 que “</w:t>
      </w:r>
      <w:r w:rsidRPr="002D6F59">
        <w:rPr>
          <w:rFonts w:ascii="Century Gothic" w:hAnsi="Century Gothic" w:cs="Arial"/>
          <w:i/>
        </w:rPr>
        <w:t>Todo Estado Parte se comprometerá a prohibir en cualquier territorio bajo su jurisdicción otros actos que constituyan tratos o penas crueles, inhumanos o degradantes y que no lleguen a ser tortura</w:t>
      </w:r>
      <w:r w:rsidRPr="002D6F59">
        <w:rPr>
          <w:rFonts w:ascii="Century Gothic" w:hAnsi="Century Gothic" w:cs="Arial"/>
        </w:rPr>
        <w:t>”.</w:t>
      </w:r>
    </w:p>
    <w:p w14:paraId="3FD57629" w14:textId="77777777" w:rsidR="00C95129" w:rsidRPr="002D6F59" w:rsidRDefault="00C95129" w:rsidP="00C95129">
      <w:pPr>
        <w:jc w:val="both"/>
        <w:rPr>
          <w:rFonts w:ascii="Century Gothic" w:hAnsi="Century Gothic" w:cs="Arial"/>
        </w:rPr>
      </w:pPr>
    </w:p>
    <w:p w14:paraId="04F79D90" w14:textId="4CFC76B3" w:rsidR="00C95129" w:rsidRPr="002D6F59" w:rsidRDefault="00C95129" w:rsidP="00024C68">
      <w:pPr>
        <w:spacing w:line="276" w:lineRule="auto"/>
        <w:jc w:val="both"/>
        <w:rPr>
          <w:rFonts w:ascii="Century Gothic" w:hAnsi="Century Gothic" w:cs="Arial"/>
        </w:rPr>
      </w:pPr>
      <w:r w:rsidRPr="002D6F59">
        <w:rPr>
          <w:rFonts w:ascii="Century Gothic" w:hAnsi="Century Gothic" w:cs="Arial"/>
        </w:rPr>
        <w:t xml:space="preserve">Cómo puede observarse, no existe impedimento en el ámbito internacional que le permita Colombia modificar su Constitución, en desarrollo de la libertad de configuración de legislativa, para así crear la posibilidad excepcional de imponer una </w:t>
      </w:r>
      <w:r w:rsidR="0036575F">
        <w:rPr>
          <w:rFonts w:ascii="Century Gothic" w:hAnsi="Century Gothic" w:cs="Arial"/>
        </w:rPr>
        <w:t>prisión</w:t>
      </w:r>
      <w:r w:rsidRPr="002D6F59">
        <w:rPr>
          <w:rFonts w:ascii="Century Gothic" w:hAnsi="Century Gothic" w:cs="Arial"/>
        </w:rPr>
        <w:t xml:space="preserve"> perpetua que sea tanto reversible como revisable.</w:t>
      </w:r>
    </w:p>
    <w:p w14:paraId="7B5F0190" w14:textId="77777777" w:rsidR="00B17AB2" w:rsidRPr="002D6F59" w:rsidRDefault="00B17AB2" w:rsidP="00024C68">
      <w:pPr>
        <w:spacing w:line="276" w:lineRule="auto"/>
        <w:jc w:val="both"/>
        <w:rPr>
          <w:rFonts w:ascii="Century Gothic" w:hAnsi="Century Gothic" w:cs="Arial"/>
        </w:rPr>
      </w:pPr>
    </w:p>
    <w:p w14:paraId="228F0060" w14:textId="1057377F" w:rsidR="00BC121A" w:rsidRPr="002D6F59" w:rsidRDefault="00BC121A" w:rsidP="00024C68">
      <w:pPr>
        <w:pStyle w:val="Prrafodelista"/>
        <w:numPr>
          <w:ilvl w:val="0"/>
          <w:numId w:val="46"/>
        </w:numPr>
        <w:jc w:val="both"/>
        <w:rPr>
          <w:rFonts w:ascii="Century Gothic" w:hAnsi="Century Gothic" w:cs="Arial"/>
          <w:b/>
        </w:rPr>
      </w:pPr>
      <w:r w:rsidRPr="002D6F59">
        <w:rPr>
          <w:rFonts w:ascii="Century Gothic" w:hAnsi="Century Gothic" w:cs="Arial"/>
          <w:b/>
        </w:rPr>
        <w:t>EL AUMENTO DE LOS DELITOS QUE AFECTAN LA LIBERTAD, INTEGRIDAD Y FORMACIÓN SEXUALES DE LOS NIÑOS, NIÑAS Y ADOLESCENTES EN COLOMBIA</w:t>
      </w:r>
      <w:r w:rsidR="007C3816" w:rsidRPr="002D6F59">
        <w:rPr>
          <w:rFonts w:ascii="Century Gothic" w:hAnsi="Century Gothic" w:cs="Arial"/>
          <w:b/>
        </w:rPr>
        <w:t>.</w:t>
      </w:r>
    </w:p>
    <w:p w14:paraId="630E299B" w14:textId="3E539642" w:rsidR="00BC121A" w:rsidRDefault="00BC121A" w:rsidP="00024C68">
      <w:pPr>
        <w:spacing w:line="276" w:lineRule="auto"/>
        <w:jc w:val="both"/>
        <w:rPr>
          <w:rFonts w:ascii="Century Gothic" w:hAnsi="Century Gothic" w:cs="Arial"/>
        </w:rPr>
      </w:pPr>
      <w:r w:rsidRPr="002D6F59">
        <w:rPr>
          <w:rFonts w:ascii="Century Gothic" w:hAnsi="Century Gothic" w:cs="Arial"/>
        </w:rPr>
        <w:t xml:space="preserve">Contra los niños y niñas se ejercen distintos tipos de violencia como abuso sexual, acoso, violación o explotación sexual en la prostitución o la pornografía. “En 2002, la OMS estimó que 150 millones de niñas y 73 millones de niños menores de 18 años experimentaron relaciones sexuales forzadas u otras formas de violencia sexual con contacto físico” según reporta UNICEF. También indica el informe que “los datos disponibles sugieren que la violencia sexual </w:t>
      </w:r>
      <w:r w:rsidRPr="002D6F59">
        <w:rPr>
          <w:rFonts w:ascii="Century Gothic" w:hAnsi="Century Gothic" w:cs="Arial"/>
        </w:rPr>
        <w:lastRenderedPageBreak/>
        <w:t>afecta predominantemente a quienes han llegado a la pubertad o la adoles</w:t>
      </w:r>
      <w:r w:rsidR="007C3816" w:rsidRPr="002D6F59">
        <w:rPr>
          <w:rFonts w:ascii="Century Gothic" w:hAnsi="Century Gothic" w:cs="Arial"/>
        </w:rPr>
        <w:t>cencia”. De acuerdo con UNIC</w:t>
      </w:r>
      <w:r w:rsidR="00EE41DC">
        <w:rPr>
          <w:rFonts w:ascii="Century Gothic" w:hAnsi="Century Gothic" w:cs="Arial"/>
        </w:rPr>
        <w:t>E</w:t>
      </w:r>
      <w:r w:rsidR="007C3816" w:rsidRPr="002D6F59">
        <w:rPr>
          <w:rFonts w:ascii="Century Gothic" w:hAnsi="Century Gothic" w:cs="Arial"/>
        </w:rPr>
        <w:t>F, l</w:t>
      </w:r>
      <w:r w:rsidRPr="002D6F59">
        <w:rPr>
          <w:rFonts w:ascii="Century Gothic" w:hAnsi="Century Gothic" w:cs="Arial"/>
        </w:rPr>
        <w:t>as revisiones sistemáticas de tasas de abuso sexual ide</w:t>
      </w:r>
      <w:r w:rsidR="000F2F95">
        <w:rPr>
          <w:rFonts w:ascii="Century Gothic" w:hAnsi="Century Gothic" w:cs="Arial"/>
        </w:rPr>
        <w:t>ntificadas varían entre el 13.</w:t>
      </w:r>
      <w:r w:rsidRPr="002D6F59">
        <w:rPr>
          <w:rFonts w:ascii="Century Gothic" w:hAnsi="Century Gothic" w:cs="Arial"/>
        </w:rPr>
        <w:t>5 y el 28 por ciento de las niñas y entre el 4 y el 12 por ciento de los niños en las regiones del mundo.</w:t>
      </w:r>
    </w:p>
    <w:p w14:paraId="263AD971"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La literatura especializada indica que la violencia contra los niños y niñas genera consecuencias agudas y a largo plazo como: sexuales y reproductivas y para la salud física y psicológica, entre otras.</w:t>
      </w:r>
      <w:r w:rsidRPr="002D6F59">
        <w:rPr>
          <w:rFonts w:ascii="Century Gothic" w:hAnsi="Century Gothic" w:cs="Arial"/>
          <w:vertAlign w:val="superscript"/>
        </w:rPr>
        <w:footnoteReference w:id="1"/>
      </w:r>
    </w:p>
    <w:p w14:paraId="3AB47F78" w14:textId="77777777" w:rsidR="00BC121A" w:rsidRPr="002D6F59" w:rsidRDefault="00BC121A" w:rsidP="00B17AB2">
      <w:pPr>
        <w:jc w:val="both"/>
        <w:rPr>
          <w:rFonts w:ascii="Century Gothic" w:hAnsi="Century Gothic" w:cs="Arial"/>
        </w:rPr>
      </w:pPr>
    </w:p>
    <w:p w14:paraId="6F796661" w14:textId="6F186C95" w:rsidR="00E16086" w:rsidRPr="002D6F59" w:rsidRDefault="00BC121A" w:rsidP="00B17AB2">
      <w:pPr>
        <w:spacing w:line="276" w:lineRule="auto"/>
        <w:jc w:val="both"/>
        <w:rPr>
          <w:rFonts w:ascii="Century Gothic" w:hAnsi="Century Gothic" w:cs="Arial"/>
        </w:rPr>
      </w:pPr>
      <w:r w:rsidRPr="002D6F59">
        <w:rPr>
          <w:rFonts w:ascii="Century Gothic" w:hAnsi="Century Gothic" w:cs="Arial"/>
        </w:rPr>
        <w:t>En Colombia, durante el año 2018, de acuerdo con el Grupo Centro de Referencia Nacional sobre Violencia (GCRNV) del Instituto Nacional de Medicina Legal y Ciencias Forense, se realizaron 26.065 exámenes médico legales por presunto delito sexual con una tasa por cada cien mil habitan</w:t>
      </w:r>
      <w:r w:rsidR="00E16086" w:rsidRPr="002D6F59">
        <w:rPr>
          <w:rFonts w:ascii="Century Gothic" w:hAnsi="Century Gothic" w:cs="Arial"/>
        </w:rPr>
        <w:t>tes de 52,30. De estos el</w:t>
      </w:r>
      <w:r w:rsidR="00CF2E25">
        <w:rPr>
          <w:rFonts w:ascii="Century Gothic" w:hAnsi="Century Gothic" w:cs="Arial"/>
          <w:b/>
        </w:rPr>
        <w:t xml:space="preserve"> 87.</w:t>
      </w:r>
      <w:r w:rsidR="00E16086" w:rsidRPr="002D6F59">
        <w:rPr>
          <w:rFonts w:ascii="Century Gothic" w:hAnsi="Century Gothic" w:cs="Arial"/>
          <w:b/>
        </w:rPr>
        <w:t>45</w:t>
      </w:r>
      <w:r w:rsidRPr="002D6F59">
        <w:rPr>
          <w:rFonts w:ascii="Century Gothic" w:hAnsi="Century Gothic" w:cs="Arial"/>
          <w:b/>
        </w:rPr>
        <w:t>% fueron practicados a niño</w:t>
      </w:r>
      <w:r w:rsidR="00E16086" w:rsidRPr="002D6F59">
        <w:rPr>
          <w:rFonts w:ascii="Century Gothic" w:hAnsi="Century Gothic" w:cs="Arial"/>
          <w:b/>
        </w:rPr>
        <w:t>s, niñas y adolescentes</w:t>
      </w:r>
      <w:r w:rsidR="00CF2E25">
        <w:rPr>
          <w:rFonts w:ascii="Century Gothic" w:hAnsi="Century Gothic" w:cs="Arial"/>
        </w:rPr>
        <w:t>. “El 11.</w:t>
      </w:r>
      <w:r w:rsidR="00E16086" w:rsidRPr="002D6F59">
        <w:rPr>
          <w:rFonts w:ascii="Century Gothic" w:hAnsi="Century Gothic" w:cs="Arial"/>
        </w:rPr>
        <w:t>20</w:t>
      </w:r>
      <w:r w:rsidRPr="002D6F59">
        <w:rPr>
          <w:rFonts w:ascii="Century Gothic" w:hAnsi="Century Gothic" w:cs="Arial"/>
        </w:rPr>
        <w:t>% de las valoraciones practicadas durante el año 2018 se realizaron a infantes entre los 0 y 4</w:t>
      </w:r>
      <w:r w:rsidR="00CF2E25">
        <w:rPr>
          <w:rFonts w:ascii="Century Gothic" w:hAnsi="Century Gothic" w:cs="Arial"/>
        </w:rPr>
        <w:t xml:space="preserve"> años de edad (2.920), el 10.</w:t>
      </w:r>
      <w:r w:rsidR="00E16086" w:rsidRPr="002D6F59">
        <w:rPr>
          <w:rFonts w:ascii="Century Gothic" w:hAnsi="Century Gothic" w:cs="Arial"/>
        </w:rPr>
        <w:t>20</w:t>
      </w:r>
      <w:r w:rsidRPr="002D6F59">
        <w:rPr>
          <w:rFonts w:ascii="Century Gothic" w:hAnsi="Century Gothic" w:cs="Arial"/>
        </w:rPr>
        <w:t>% de los casos corresponden a niñas de 4 años de edad o menos representado en 2.275 casos, cifra que triplica el número de</w:t>
      </w:r>
      <w:r w:rsidR="00E16086" w:rsidRPr="002D6F59">
        <w:rPr>
          <w:rFonts w:ascii="Century Gothic" w:hAnsi="Century Gothic" w:cs="Arial"/>
        </w:rPr>
        <w:t xml:space="preserve"> casos valorados en niños, 645”:</w:t>
      </w:r>
      <w:r w:rsidRPr="002D6F59">
        <w:rPr>
          <w:rFonts w:ascii="Century Gothic" w:hAnsi="Century Gothic" w:cs="Arial"/>
          <w:vertAlign w:val="superscript"/>
        </w:rPr>
        <w:footnoteReference w:id="2"/>
      </w:r>
    </w:p>
    <w:p w14:paraId="347C051D" w14:textId="77777777" w:rsidR="00B17AB2" w:rsidRPr="002D6F59" w:rsidRDefault="00B17AB2" w:rsidP="002A02D6">
      <w:pPr>
        <w:jc w:val="both"/>
        <w:rPr>
          <w:rFonts w:ascii="Century Gothic" w:hAnsi="Century Gothic" w:cs="Arial"/>
        </w:rPr>
      </w:pPr>
    </w:p>
    <w:p w14:paraId="1F598A55" w14:textId="77777777" w:rsidR="00E16086" w:rsidRPr="002D6F59" w:rsidRDefault="00E16086" w:rsidP="00B17AB2">
      <w:pPr>
        <w:pStyle w:val="Prrafodelista"/>
        <w:ind w:left="0"/>
        <w:jc w:val="center"/>
        <w:rPr>
          <w:rFonts w:ascii="Century Gothic" w:hAnsi="Century Gothic"/>
          <w:sz w:val="21"/>
          <w:szCs w:val="21"/>
        </w:rPr>
      </w:pPr>
      <w:r w:rsidRPr="007910F4">
        <w:rPr>
          <w:rFonts w:ascii="Century Gothic" w:hAnsi="Century Gothic"/>
          <w:noProof/>
          <w:sz w:val="21"/>
          <w:szCs w:val="21"/>
          <w:shd w:val="clear" w:color="auto" w:fill="F2DBDB" w:themeFill="accent2" w:themeFillTint="33"/>
          <w:lang w:eastAsia="es-CO"/>
        </w:rPr>
        <w:drawing>
          <wp:inline distT="0" distB="0" distL="0" distR="0" wp14:anchorId="68277EBA" wp14:editId="09146137">
            <wp:extent cx="5864888" cy="1184031"/>
            <wp:effectExtent l="0" t="0" r="2540" b="0"/>
            <wp:docPr id="2" name="Imagen 2" descr="../Desktop/Captura%20de%20pantalla%202019-08-07%20a%20la(s)%2006.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9-08-07%20a%20la(s)%2006.45.0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026" t="26597" r="35469" b="59593"/>
                    <a:stretch/>
                  </pic:blipFill>
                  <pic:spPr bwMode="auto">
                    <a:xfrm>
                      <a:off x="0" y="0"/>
                      <a:ext cx="6021078" cy="1215563"/>
                    </a:xfrm>
                    <a:prstGeom prst="rect">
                      <a:avLst/>
                    </a:prstGeom>
                    <a:noFill/>
                    <a:ln>
                      <a:noFill/>
                    </a:ln>
                    <a:extLst>
                      <a:ext uri="{53640926-AAD7-44D8-BBD7-CCE9431645EC}">
                        <a14:shadowObscured xmlns:a14="http://schemas.microsoft.com/office/drawing/2010/main"/>
                      </a:ext>
                    </a:extLst>
                  </pic:spPr>
                </pic:pic>
              </a:graphicData>
            </a:graphic>
          </wp:inline>
        </w:drawing>
      </w:r>
    </w:p>
    <w:p w14:paraId="54DB9935" w14:textId="745C2F15" w:rsidR="00E16086" w:rsidRPr="002D6F59" w:rsidRDefault="00E16086" w:rsidP="00B17AB2">
      <w:pPr>
        <w:pStyle w:val="Prrafodelista"/>
        <w:ind w:left="0"/>
        <w:jc w:val="center"/>
        <w:rPr>
          <w:rFonts w:ascii="Century Gothic" w:hAnsi="Century Gothic" w:cs="Arial"/>
          <w:sz w:val="16"/>
          <w:szCs w:val="16"/>
        </w:rPr>
      </w:pPr>
      <w:r w:rsidRPr="002D6F59">
        <w:rPr>
          <w:rFonts w:ascii="Century Gothic" w:hAnsi="Century Gothic" w:cs="Arial"/>
          <w:sz w:val="16"/>
          <w:szCs w:val="16"/>
        </w:rPr>
        <w:t>Fuente: Informe “Forensis 2018. Datos para la vida”</w:t>
      </w:r>
    </w:p>
    <w:p w14:paraId="5187F80A" w14:textId="41C29C8F" w:rsidR="00E16086" w:rsidRDefault="00BC121A" w:rsidP="00B17AB2">
      <w:pPr>
        <w:spacing w:line="276" w:lineRule="auto"/>
        <w:jc w:val="both"/>
        <w:rPr>
          <w:rFonts w:ascii="Century Gothic" w:hAnsi="Century Gothic" w:cs="Arial"/>
        </w:rPr>
      </w:pPr>
      <w:r w:rsidRPr="002D6F59">
        <w:rPr>
          <w:rFonts w:ascii="Century Gothic" w:hAnsi="Century Gothic" w:cs="Arial"/>
        </w:rPr>
        <w:t>Para las niñas entre 10 a 13 años de edad, el riesgo de ser víctimas de d</w:t>
      </w:r>
      <w:r w:rsidR="00E16086" w:rsidRPr="002D6F59">
        <w:rPr>
          <w:rFonts w:ascii="Century Gothic" w:hAnsi="Century Gothic" w:cs="Arial"/>
        </w:rPr>
        <w:t>elito sexual representó el 41,9</w:t>
      </w:r>
      <w:r w:rsidRPr="002D6F59">
        <w:rPr>
          <w:rFonts w:ascii="Century Gothic" w:hAnsi="Century Gothic" w:cs="Arial"/>
        </w:rPr>
        <w:t>% del total de valoraciones practicadas en mujeres. En este grupo de edad, 5.713 niñas resultaron embarazadas.</w:t>
      </w:r>
    </w:p>
    <w:p w14:paraId="61FCEA6C" w14:textId="29CEA534" w:rsidR="00FC4C33" w:rsidRDefault="00FC4C33" w:rsidP="00FC4C33">
      <w:pPr>
        <w:jc w:val="both"/>
        <w:rPr>
          <w:rFonts w:ascii="Century Gothic" w:hAnsi="Century Gothic" w:cs="Arial"/>
        </w:rPr>
      </w:pPr>
    </w:p>
    <w:p w14:paraId="7AEF6AB5" w14:textId="77777777" w:rsidR="00FC4C33" w:rsidRDefault="00FC4C33" w:rsidP="00FC4C33">
      <w:pPr>
        <w:spacing w:line="276" w:lineRule="auto"/>
        <w:jc w:val="both"/>
        <w:rPr>
          <w:rFonts w:ascii="Century Gothic" w:hAnsi="Century Gothic" w:cs="Arial"/>
          <w:lang w:val="es-CO" w:eastAsia="es-ES"/>
        </w:rPr>
      </w:pPr>
      <w:r>
        <w:rPr>
          <w:rFonts w:ascii="Century Gothic" w:hAnsi="Century Gothic" w:cs="Arial"/>
          <w:lang w:val="es-CO" w:eastAsia="es-ES"/>
        </w:rPr>
        <w:t>E</w:t>
      </w:r>
      <w:r w:rsidRPr="002D6F59">
        <w:rPr>
          <w:rFonts w:ascii="Century Gothic" w:hAnsi="Century Gothic" w:cs="Arial"/>
          <w:lang w:val="es-CO" w:eastAsia="es-ES"/>
        </w:rPr>
        <w:t xml:space="preserve">s importante señalar que </w:t>
      </w:r>
      <w:r>
        <w:rPr>
          <w:rFonts w:ascii="Century Gothic" w:hAnsi="Century Gothic" w:cs="Arial"/>
          <w:lang w:val="es-CO" w:eastAsia="es-ES"/>
        </w:rPr>
        <w:t>e</w:t>
      </w:r>
      <w:r w:rsidRPr="00C025CE">
        <w:rPr>
          <w:rFonts w:ascii="Century Gothic" w:hAnsi="Century Gothic" w:cs="Arial"/>
          <w:lang w:val="es-CO" w:eastAsia="es-ES"/>
        </w:rPr>
        <w:t xml:space="preserve">ntre enero y </w:t>
      </w:r>
      <w:r>
        <w:rPr>
          <w:rFonts w:ascii="Century Gothic" w:hAnsi="Century Gothic" w:cs="Arial"/>
          <w:lang w:val="es-CO" w:eastAsia="es-ES"/>
        </w:rPr>
        <w:t>diciembre</w:t>
      </w:r>
      <w:r w:rsidRPr="00C025CE">
        <w:rPr>
          <w:rFonts w:ascii="Century Gothic" w:hAnsi="Century Gothic" w:cs="Arial"/>
          <w:lang w:val="es-CO" w:eastAsia="es-ES"/>
        </w:rPr>
        <w:t xml:space="preserve"> de 2019, se practica</w:t>
      </w:r>
      <w:r>
        <w:rPr>
          <w:rFonts w:ascii="Century Gothic" w:hAnsi="Century Gothic" w:cs="Arial"/>
          <w:lang w:val="es-CO" w:eastAsia="es-ES"/>
        </w:rPr>
        <w:t>ron</w:t>
      </w:r>
      <w:r w:rsidRPr="00C025CE">
        <w:rPr>
          <w:rFonts w:ascii="Century Gothic" w:hAnsi="Century Gothic" w:cs="Arial"/>
          <w:lang w:val="es-CO" w:eastAsia="es-ES"/>
        </w:rPr>
        <w:t xml:space="preserve"> </w:t>
      </w:r>
      <w:r>
        <w:rPr>
          <w:rFonts w:ascii="Century Gothic" w:hAnsi="Century Gothic" w:cs="Arial"/>
          <w:b/>
          <w:lang w:val="es-CO" w:eastAsia="es-ES"/>
        </w:rPr>
        <w:t>22.211</w:t>
      </w:r>
      <w:r w:rsidRPr="00C025CE">
        <w:rPr>
          <w:rFonts w:ascii="Century Gothic" w:hAnsi="Century Gothic" w:cs="Arial"/>
          <w:b/>
          <w:lang w:val="es-CO" w:eastAsia="es-ES"/>
        </w:rPr>
        <w:t xml:space="preserve"> exámenes médico legales</w:t>
      </w:r>
      <w:r>
        <w:rPr>
          <w:rFonts w:ascii="Century Gothic" w:hAnsi="Century Gothic" w:cs="Arial"/>
          <w:b/>
          <w:lang w:val="es-CO" w:eastAsia="es-ES"/>
        </w:rPr>
        <w:t xml:space="preserve"> a NNA por presunto delito sexual</w:t>
      </w:r>
      <w:r w:rsidRPr="00C025CE">
        <w:rPr>
          <w:rFonts w:ascii="Century Gothic" w:hAnsi="Century Gothic" w:cs="Arial"/>
          <w:lang w:val="es-CO" w:eastAsia="es-ES"/>
        </w:rPr>
        <w:t xml:space="preserve">, </w:t>
      </w:r>
      <w:r>
        <w:rPr>
          <w:rFonts w:ascii="Century Gothic" w:hAnsi="Century Gothic" w:cs="Arial"/>
          <w:lang w:val="es-CO" w:eastAsia="es-ES"/>
        </w:rPr>
        <w:t>lo que lleva a precisar que cada hora en promedio,</w:t>
      </w:r>
      <w:r w:rsidRPr="00C025CE">
        <w:rPr>
          <w:rFonts w:ascii="Century Gothic" w:hAnsi="Century Gothic" w:cs="Arial"/>
          <w:lang w:val="es-CO" w:eastAsia="es-ES"/>
        </w:rPr>
        <w:t xml:space="preserve"> 3 niños fueron víctimas de este flagelo</w:t>
      </w:r>
      <w:r>
        <w:rPr>
          <w:rFonts w:ascii="Century Gothic" w:hAnsi="Century Gothic" w:cs="Arial"/>
          <w:lang w:val="es-CO" w:eastAsia="es-ES"/>
        </w:rPr>
        <w:t xml:space="preserve">. </w:t>
      </w:r>
    </w:p>
    <w:p w14:paraId="1B871460" w14:textId="77777777" w:rsidR="002A5EED" w:rsidRDefault="002A5EED" w:rsidP="002A5EED">
      <w:pPr>
        <w:jc w:val="both"/>
        <w:rPr>
          <w:rFonts w:ascii="Century Gothic" w:hAnsi="Century Gothic" w:cs="Arial"/>
          <w:lang w:val="es-CO" w:eastAsia="es-ES"/>
        </w:rPr>
      </w:pPr>
    </w:p>
    <w:p w14:paraId="77A4737D" w14:textId="6DE23E90" w:rsidR="00FC4C33" w:rsidRPr="00FC4C33" w:rsidRDefault="00FC4C33" w:rsidP="00B17AB2">
      <w:pPr>
        <w:spacing w:line="276" w:lineRule="auto"/>
        <w:jc w:val="both"/>
        <w:rPr>
          <w:rFonts w:ascii="Century Gothic" w:hAnsi="Century Gothic" w:cs="Arial"/>
          <w:lang w:val="es-CO" w:eastAsia="es-ES"/>
        </w:rPr>
      </w:pPr>
      <w:r>
        <w:rPr>
          <w:rFonts w:ascii="Century Gothic" w:hAnsi="Century Gothic" w:cs="Arial"/>
          <w:lang w:val="es-CO" w:eastAsia="es-ES"/>
        </w:rPr>
        <w:t xml:space="preserve">Durante la vigencia 2019 los menores entre 10 y 14 años reportaron el mayor porcentaje de casos, con el 46.1%, siendo las niñas las mayores victimas con 9.166 examenes: </w:t>
      </w:r>
    </w:p>
    <w:p w14:paraId="4B11B118" w14:textId="2AFAB825" w:rsidR="005205D9" w:rsidRPr="004364ED" w:rsidRDefault="005205D9" w:rsidP="002A02D6">
      <w:pPr>
        <w:spacing w:line="276" w:lineRule="auto"/>
        <w:jc w:val="center"/>
        <w:rPr>
          <w:rFonts w:ascii="Century Gothic" w:hAnsi="Century Gothic" w:cs="Arial"/>
          <w:sz w:val="16"/>
          <w:szCs w:val="16"/>
          <w:lang w:val="es-ES_tradnl"/>
        </w:rPr>
      </w:pPr>
      <w:r w:rsidRPr="002D6F59">
        <w:rPr>
          <w:rFonts w:ascii="Century Gothic" w:hAnsi="Century Gothic" w:cs="Arial"/>
          <w:sz w:val="16"/>
          <w:szCs w:val="16"/>
        </w:rPr>
        <w:lastRenderedPageBreak/>
        <w:t xml:space="preserve">Fuente: </w:t>
      </w:r>
      <w:r w:rsidRPr="004364ED">
        <w:rPr>
          <w:rFonts w:ascii="Century Gothic" w:hAnsi="Century Gothic" w:cs="Arial"/>
          <w:sz w:val="16"/>
          <w:szCs w:val="16"/>
        </w:rPr>
        <w:t>Instituto Nacional de Medicina Legal y Ciencias Forense</w:t>
      </w:r>
    </w:p>
    <w:p w14:paraId="5C58DFF8" w14:textId="0B5B4408" w:rsidR="00BF27BD" w:rsidRDefault="00BF27BD" w:rsidP="002D68BE">
      <w:pPr>
        <w:jc w:val="center"/>
        <w:rPr>
          <w:rFonts w:ascii="Century Gothic" w:hAnsi="Century Gothic" w:cs="Arial"/>
          <w:lang w:val="es-CO" w:eastAsia="es-ES"/>
        </w:rPr>
      </w:pPr>
    </w:p>
    <w:p w14:paraId="474D9403" w14:textId="71FCC4DE" w:rsidR="00E70950" w:rsidRPr="00BC4959" w:rsidRDefault="00E70950" w:rsidP="00E70950">
      <w:pPr>
        <w:spacing w:line="276" w:lineRule="auto"/>
        <w:jc w:val="both"/>
        <w:rPr>
          <w:rFonts w:ascii="Century Gothic" w:hAnsi="Century Gothic" w:cs="Arial"/>
          <w:lang w:eastAsia="es-ES"/>
        </w:rPr>
      </w:pPr>
      <w:r>
        <w:rPr>
          <w:rFonts w:ascii="Century Gothic" w:hAnsi="Century Gothic" w:cs="Arial"/>
          <w:lang w:val="es-CO" w:eastAsia="es-ES"/>
        </w:rPr>
        <w:t>Ahora bien, l</w:t>
      </w:r>
      <w:r w:rsidRPr="002D6F59">
        <w:rPr>
          <w:rFonts w:ascii="Century Gothic" w:hAnsi="Century Gothic" w:cs="Arial"/>
          <w:lang w:val="es-CO" w:eastAsia="es-ES"/>
        </w:rPr>
        <w:t xml:space="preserve">os departamentos </w:t>
      </w:r>
      <w:r w:rsidRPr="002D6F59">
        <w:rPr>
          <w:rFonts w:ascii="Century Gothic" w:hAnsi="Century Gothic" w:cs="Arial"/>
          <w:lang w:eastAsia="es-ES"/>
        </w:rPr>
        <w:t>que reportaron los mayores casos de violencia sexual contra los niños, niñas y adolescentes, durante el año 201</w:t>
      </w:r>
      <w:r>
        <w:rPr>
          <w:rFonts w:ascii="Century Gothic" w:hAnsi="Century Gothic" w:cs="Arial"/>
          <w:lang w:eastAsia="es-ES"/>
        </w:rPr>
        <w:t>9</w:t>
      </w:r>
      <w:r w:rsidRPr="002D6F59">
        <w:rPr>
          <w:rFonts w:ascii="Century Gothic" w:hAnsi="Century Gothic" w:cs="Arial"/>
          <w:lang w:eastAsia="es-ES"/>
        </w:rPr>
        <w:t xml:space="preserve"> fueron: Bogotá con </w:t>
      </w:r>
      <w:r w:rsidR="003C4E65">
        <w:rPr>
          <w:rFonts w:ascii="Century Gothic" w:hAnsi="Century Gothic" w:cs="Arial"/>
          <w:lang w:eastAsia="es-ES"/>
        </w:rPr>
        <w:t>3.750</w:t>
      </w:r>
      <w:r w:rsidRPr="002D6F59">
        <w:rPr>
          <w:rFonts w:ascii="Century Gothic" w:hAnsi="Century Gothic" w:cs="Arial"/>
          <w:lang w:eastAsia="es-ES"/>
        </w:rPr>
        <w:t xml:space="preserve"> casos, Antioquia con 2.</w:t>
      </w:r>
      <w:r w:rsidR="003C4E65">
        <w:rPr>
          <w:rFonts w:ascii="Century Gothic" w:hAnsi="Century Gothic" w:cs="Arial"/>
          <w:lang w:eastAsia="es-ES"/>
        </w:rPr>
        <w:t>378</w:t>
      </w:r>
      <w:r w:rsidRPr="002D6F59">
        <w:rPr>
          <w:rFonts w:ascii="Century Gothic" w:hAnsi="Century Gothic" w:cs="Arial"/>
          <w:lang w:eastAsia="es-ES"/>
        </w:rPr>
        <w:t xml:space="preserve"> casos, Valle del Cauca con </w:t>
      </w:r>
      <w:r w:rsidR="003C4E65">
        <w:rPr>
          <w:rFonts w:ascii="Century Gothic" w:hAnsi="Century Gothic" w:cs="Arial"/>
          <w:lang w:eastAsia="es-ES"/>
        </w:rPr>
        <w:t>1.873</w:t>
      </w:r>
      <w:r w:rsidRPr="002D6F59">
        <w:rPr>
          <w:rFonts w:ascii="Century Gothic" w:hAnsi="Century Gothic" w:cs="Arial"/>
          <w:lang w:eastAsia="es-ES"/>
        </w:rPr>
        <w:t xml:space="preserve"> casos y Cundinamarca con 1.</w:t>
      </w:r>
      <w:r w:rsidR="003C4E65">
        <w:rPr>
          <w:rFonts w:ascii="Century Gothic" w:hAnsi="Century Gothic" w:cs="Arial"/>
          <w:lang w:eastAsia="es-ES"/>
        </w:rPr>
        <w:t>518</w:t>
      </w:r>
      <w:r w:rsidRPr="002D6F59">
        <w:rPr>
          <w:rFonts w:ascii="Century Gothic" w:hAnsi="Century Gothic" w:cs="Arial"/>
          <w:lang w:eastAsia="es-ES"/>
        </w:rPr>
        <w:t xml:space="preserve"> casos, los cuales representan el </w:t>
      </w:r>
      <w:r w:rsidRPr="002D6F59">
        <w:rPr>
          <w:rFonts w:ascii="Century Gothic" w:hAnsi="Century Gothic" w:cs="Arial"/>
          <w:b/>
          <w:lang w:eastAsia="es-ES"/>
        </w:rPr>
        <w:t>4</w:t>
      </w:r>
      <w:r w:rsidR="00327D74">
        <w:rPr>
          <w:rFonts w:ascii="Century Gothic" w:hAnsi="Century Gothic" w:cs="Arial"/>
          <w:b/>
          <w:lang w:eastAsia="es-ES"/>
        </w:rPr>
        <w:t>2.8</w:t>
      </w:r>
      <w:r w:rsidRPr="002D6F59">
        <w:rPr>
          <w:rFonts w:ascii="Century Gothic" w:hAnsi="Century Gothic" w:cs="Arial"/>
          <w:b/>
          <w:lang w:eastAsia="es-ES"/>
        </w:rPr>
        <w:t>%</w:t>
      </w:r>
      <w:r w:rsidRPr="002D6F59">
        <w:rPr>
          <w:rFonts w:ascii="Century Gothic" w:hAnsi="Century Gothic" w:cs="Arial"/>
          <w:lang w:eastAsia="es-ES"/>
        </w:rPr>
        <w:t xml:space="preserve"> del total de casos reportados para la vigencia 201</w:t>
      </w:r>
      <w:r>
        <w:rPr>
          <w:rFonts w:ascii="Century Gothic" w:hAnsi="Century Gothic" w:cs="Arial"/>
          <w:lang w:eastAsia="es-ES"/>
        </w:rPr>
        <w:t>9</w:t>
      </w:r>
      <w:r w:rsidRPr="002D6F59">
        <w:rPr>
          <w:rFonts w:ascii="Century Gothic" w:hAnsi="Century Gothic" w:cs="Arial"/>
          <w:lang w:eastAsia="es-ES"/>
        </w:rPr>
        <w:t xml:space="preserve">:  </w:t>
      </w:r>
    </w:p>
    <w:tbl>
      <w:tblPr>
        <w:tblpPr w:leftFromText="141" w:rightFromText="141" w:vertAnchor="page" w:horzAnchor="margin" w:tblpY="1589"/>
        <w:tblW w:w="8981" w:type="dxa"/>
        <w:shd w:val="clear" w:color="auto" w:fill="FFFFFF" w:themeFill="background1"/>
        <w:tblCellMar>
          <w:left w:w="70" w:type="dxa"/>
          <w:right w:w="70" w:type="dxa"/>
        </w:tblCellMar>
        <w:tblLook w:val="04A0" w:firstRow="1" w:lastRow="0" w:firstColumn="1" w:lastColumn="0" w:noHBand="0" w:noVBand="1"/>
      </w:tblPr>
      <w:tblGrid>
        <w:gridCol w:w="1822"/>
        <w:gridCol w:w="857"/>
        <w:gridCol w:w="847"/>
        <w:gridCol w:w="849"/>
        <w:gridCol w:w="645"/>
        <w:gridCol w:w="862"/>
        <w:gridCol w:w="849"/>
        <w:gridCol w:w="848"/>
        <w:gridCol w:w="645"/>
        <w:gridCol w:w="757"/>
      </w:tblGrid>
      <w:tr w:rsidR="00E70950" w:rsidRPr="004364ED" w14:paraId="7FC010B4" w14:textId="77777777" w:rsidTr="00E70950">
        <w:trPr>
          <w:trHeight w:val="991"/>
        </w:trPr>
        <w:tc>
          <w:tcPr>
            <w:tcW w:w="1822" w:type="dxa"/>
            <w:tcBorders>
              <w:top w:val="nil"/>
              <w:left w:val="nil"/>
              <w:bottom w:val="nil"/>
              <w:right w:val="nil"/>
            </w:tcBorders>
            <w:shd w:val="clear" w:color="auto" w:fill="F2DBDB" w:themeFill="accent2" w:themeFillTint="33"/>
            <w:noWrap/>
            <w:vAlign w:val="bottom"/>
            <w:hideMark/>
          </w:tcPr>
          <w:p w14:paraId="77E2F2BC" w14:textId="77777777" w:rsidR="00E70950" w:rsidRPr="002A0082" w:rsidRDefault="00E70950" w:rsidP="00E70950">
            <w:pPr>
              <w:rPr>
                <w:rFonts w:ascii="Century Gothic" w:hAnsi="Century Gothic"/>
                <w:color w:val="000000" w:themeColor="text1"/>
                <w:sz w:val="20"/>
                <w:szCs w:val="20"/>
              </w:rPr>
            </w:pPr>
          </w:p>
          <w:p w14:paraId="5887081D" w14:textId="77777777" w:rsidR="00E70950" w:rsidRPr="002A0082" w:rsidRDefault="00E70950" w:rsidP="00E70950">
            <w:pPr>
              <w:rPr>
                <w:rFonts w:ascii="Century Gothic" w:hAnsi="Century Gothic"/>
                <w:color w:val="000000" w:themeColor="text1"/>
                <w:sz w:val="20"/>
                <w:szCs w:val="20"/>
              </w:rPr>
            </w:pPr>
          </w:p>
        </w:tc>
        <w:tc>
          <w:tcPr>
            <w:tcW w:w="857"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14:paraId="4F4F1714"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Hombre</w:t>
            </w:r>
          </w:p>
        </w:tc>
        <w:tc>
          <w:tcPr>
            <w:tcW w:w="847"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14:paraId="28352C3D"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Hombre</w:t>
            </w:r>
          </w:p>
        </w:tc>
        <w:tc>
          <w:tcPr>
            <w:tcW w:w="849" w:type="dxa"/>
            <w:tcBorders>
              <w:top w:val="nil"/>
              <w:left w:val="nil"/>
              <w:bottom w:val="single" w:sz="4" w:space="0" w:color="auto"/>
              <w:right w:val="nil"/>
            </w:tcBorders>
            <w:shd w:val="clear" w:color="auto" w:fill="F2DBDB" w:themeFill="accent2" w:themeFillTint="33"/>
            <w:textDirection w:val="btLr"/>
            <w:vAlign w:val="center"/>
            <w:hideMark/>
          </w:tcPr>
          <w:p w14:paraId="1AEEEF10"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Hombre</w:t>
            </w:r>
          </w:p>
        </w:tc>
        <w:tc>
          <w:tcPr>
            <w:tcW w:w="645" w:type="dxa"/>
            <w:tcBorders>
              <w:top w:val="nil"/>
              <w:left w:val="single" w:sz="8" w:space="0" w:color="auto"/>
              <w:bottom w:val="single" w:sz="8" w:space="0" w:color="auto"/>
              <w:right w:val="single" w:sz="8" w:space="0" w:color="auto"/>
            </w:tcBorders>
            <w:shd w:val="clear" w:color="auto" w:fill="F2DBDB" w:themeFill="accent2" w:themeFillTint="33"/>
            <w:textDirection w:val="btLr"/>
            <w:vAlign w:val="center"/>
            <w:hideMark/>
          </w:tcPr>
          <w:p w14:paraId="5B55F68D"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HOMBRE</w:t>
            </w:r>
          </w:p>
        </w:tc>
        <w:tc>
          <w:tcPr>
            <w:tcW w:w="862"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14:paraId="0BE072D7"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Mujer</w:t>
            </w:r>
          </w:p>
        </w:tc>
        <w:tc>
          <w:tcPr>
            <w:tcW w:w="849" w:type="dxa"/>
            <w:tcBorders>
              <w:top w:val="nil"/>
              <w:left w:val="nil"/>
              <w:bottom w:val="single" w:sz="4" w:space="0" w:color="auto"/>
              <w:right w:val="single" w:sz="4" w:space="0" w:color="auto"/>
            </w:tcBorders>
            <w:shd w:val="clear" w:color="auto" w:fill="F2DBDB" w:themeFill="accent2" w:themeFillTint="33"/>
            <w:textDirection w:val="btLr"/>
            <w:vAlign w:val="center"/>
            <w:hideMark/>
          </w:tcPr>
          <w:p w14:paraId="3CA25FFF"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Mujer</w:t>
            </w:r>
          </w:p>
        </w:tc>
        <w:tc>
          <w:tcPr>
            <w:tcW w:w="848" w:type="dxa"/>
            <w:tcBorders>
              <w:top w:val="nil"/>
              <w:left w:val="nil"/>
              <w:bottom w:val="single" w:sz="4" w:space="0" w:color="auto"/>
              <w:right w:val="nil"/>
            </w:tcBorders>
            <w:shd w:val="clear" w:color="auto" w:fill="F2DBDB" w:themeFill="accent2" w:themeFillTint="33"/>
            <w:textDirection w:val="btLr"/>
            <w:vAlign w:val="center"/>
            <w:hideMark/>
          </w:tcPr>
          <w:p w14:paraId="3C4994D3"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Mujer</w:t>
            </w:r>
          </w:p>
        </w:tc>
        <w:tc>
          <w:tcPr>
            <w:tcW w:w="645" w:type="dxa"/>
            <w:tcBorders>
              <w:top w:val="nil"/>
              <w:left w:val="single" w:sz="8" w:space="0" w:color="auto"/>
              <w:bottom w:val="single" w:sz="8" w:space="0" w:color="auto"/>
              <w:right w:val="single" w:sz="8" w:space="0" w:color="auto"/>
            </w:tcBorders>
            <w:shd w:val="clear" w:color="auto" w:fill="F2DBDB" w:themeFill="accent2" w:themeFillTint="33"/>
            <w:textDirection w:val="btLr"/>
            <w:vAlign w:val="center"/>
            <w:hideMark/>
          </w:tcPr>
          <w:p w14:paraId="6DDF3EA9"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MUJER</w:t>
            </w:r>
          </w:p>
        </w:tc>
        <w:tc>
          <w:tcPr>
            <w:tcW w:w="757" w:type="dxa"/>
            <w:tcBorders>
              <w:top w:val="nil"/>
              <w:left w:val="nil"/>
              <w:bottom w:val="nil"/>
              <w:right w:val="single" w:sz="8" w:space="0" w:color="auto"/>
            </w:tcBorders>
            <w:shd w:val="clear" w:color="auto" w:fill="F2DBDB" w:themeFill="accent2" w:themeFillTint="33"/>
            <w:textDirection w:val="btLr"/>
            <w:vAlign w:val="bottom"/>
            <w:hideMark/>
          </w:tcPr>
          <w:p w14:paraId="2873DBB2" w14:textId="77777777" w:rsidR="00E70950" w:rsidRPr="002A0082" w:rsidRDefault="00E70950" w:rsidP="00E70950">
            <w:pP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TOTAL</w:t>
            </w:r>
          </w:p>
        </w:tc>
      </w:tr>
      <w:tr w:rsidR="00E70950" w:rsidRPr="004364ED" w14:paraId="4E106DAB" w14:textId="77777777" w:rsidTr="00E70950">
        <w:trPr>
          <w:trHeight w:val="1254"/>
        </w:trPr>
        <w:tc>
          <w:tcPr>
            <w:tcW w:w="1822" w:type="dxa"/>
            <w:tcBorders>
              <w:top w:val="nil"/>
              <w:left w:val="single" w:sz="8" w:space="0" w:color="auto"/>
              <w:bottom w:val="single" w:sz="8" w:space="0" w:color="auto"/>
              <w:right w:val="single" w:sz="8" w:space="0" w:color="auto"/>
            </w:tcBorders>
            <w:shd w:val="clear" w:color="auto" w:fill="F2DBDB" w:themeFill="accent2" w:themeFillTint="33"/>
            <w:vAlign w:val="center"/>
            <w:hideMark/>
          </w:tcPr>
          <w:p w14:paraId="064DCFD1"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CONTEXTO DE VIOLENCIA - VARIABLE / MAYOR DE EDAD (&gt; 18 AÑOS) O MENOR DE EDAD (&lt; 18 AÑOS)</w:t>
            </w:r>
          </w:p>
        </w:tc>
        <w:tc>
          <w:tcPr>
            <w:tcW w:w="857" w:type="dxa"/>
            <w:tcBorders>
              <w:top w:val="nil"/>
              <w:left w:val="nil"/>
              <w:bottom w:val="single" w:sz="8" w:space="0" w:color="auto"/>
              <w:right w:val="single" w:sz="4" w:space="0" w:color="auto"/>
            </w:tcBorders>
            <w:shd w:val="clear" w:color="auto" w:fill="F2DBDB" w:themeFill="accent2" w:themeFillTint="33"/>
            <w:textDirection w:val="btLr"/>
            <w:vAlign w:val="center"/>
            <w:hideMark/>
          </w:tcPr>
          <w:p w14:paraId="722A334E"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(&lt;18 años)</w:t>
            </w:r>
          </w:p>
        </w:tc>
        <w:tc>
          <w:tcPr>
            <w:tcW w:w="847" w:type="dxa"/>
            <w:tcBorders>
              <w:top w:val="nil"/>
              <w:left w:val="nil"/>
              <w:bottom w:val="single" w:sz="8" w:space="0" w:color="auto"/>
              <w:right w:val="single" w:sz="4" w:space="0" w:color="auto"/>
            </w:tcBorders>
            <w:shd w:val="clear" w:color="auto" w:fill="F2DBDB" w:themeFill="accent2" w:themeFillTint="33"/>
            <w:textDirection w:val="btLr"/>
            <w:vAlign w:val="center"/>
            <w:hideMark/>
          </w:tcPr>
          <w:p w14:paraId="57FF21E2"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(&gt;18 años)</w:t>
            </w:r>
          </w:p>
        </w:tc>
        <w:tc>
          <w:tcPr>
            <w:tcW w:w="849" w:type="dxa"/>
            <w:tcBorders>
              <w:top w:val="nil"/>
              <w:left w:val="nil"/>
              <w:bottom w:val="single" w:sz="8" w:space="0" w:color="auto"/>
              <w:right w:val="nil"/>
            </w:tcBorders>
            <w:shd w:val="clear" w:color="auto" w:fill="F2DBDB" w:themeFill="accent2" w:themeFillTint="33"/>
            <w:textDirection w:val="btLr"/>
            <w:vAlign w:val="center"/>
            <w:hideMark/>
          </w:tcPr>
          <w:p w14:paraId="71C3C054"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 xml:space="preserve">Sin información </w:t>
            </w:r>
          </w:p>
        </w:tc>
        <w:tc>
          <w:tcPr>
            <w:tcW w:w="645" w:type="dxa"/>
            <w:tcBorders>
              <w:top w:val="nil"/>
              <w:left w:val="single" w:sz="8" w:space="0" w:color="auto"/>
              <w:bottom w:val="single" w:sz="8" w:space="0" w:color="auto"/>
              <w:right w:val="single" w:sz="8" w:space="0" w:color="auto"/>
            </w:tcBorders>
            <w:shd w:val="clear" w:color="auto" w:fill="F2DBDB" w:themeFill="accent2" w:themeFillTint="33"/>
            <w:textDirection w:val="btLr"/>
            <w:vAlign w:val="center"/>
            <w:hideMark/>
          </w:tcPr>
          <w:p w14:paraId="7DB63F90"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TOTAL</w:t>
            </w:r>
          </w:p>
        </w:tc>
        <w:tc>
          <w:tcPr>
            <w:tcW w:w="862" w:type="dxa"/>
            <w:tcBorders>
              <w:top w:val="nil"/>
              <w:left w:val="nil"/>
              <w:bottom w:val="single" w:sz="8" w:space="0" w:color="auto"/>
              <w:right w:val="single" w:sz="4" w:space="0" w:color="auto"/>
            </w:tcBorders>
            <w:shd w:val="clear" w:color="auto" w:fill="F2DBDB" w:themeFill="accent2" w:themeFillTint="33"/>
            <w:textDirection w:val="btLr"/>
            <w:vAlign w:val="center"/>
            <w:hideMark/>
          </w:tcPr>
          <w:p w14:paraId="53B16AA0"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(&lt;18 años)</w:t>
            </w:r>
          </w:p>
        </w:tc>
        <w:tc>
          <w:tcPr>
            <w:tcW w:w="849" w:type="dxa"/>
            <w:tcBorders>
              <w:top w:val="nil"/>
              <w:left w:val="nil"/>
              <w:bottom w:val="single" w:sz="8" w:space="0" w:color="auto"/>
              <w:right w:val="single" w:sz="4" w:space="0" w:color="auto"/>
            </w:tcBorders>
            <w:shd w:val="clear" w:color="auto" w:fill="F2DBDB" w:themeFill="accent2" w:themeFillTint="33"/>
            <w:textDirection w:val="btLr"/>
            <w:vAlign w:val="center"/>
            <w:hideMark/>
          </w:tcPr>
          <w:p w14:paraId="58546AF1"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(&gt;18 años)</w:t>
            </w:r>
          </w:p>
        </w:tc>
        <w:tc>
          <w:tcPr>
            <w:tcW w:w="848" w:type="dxa"/>
            <w:tcBorders>
              <w:top w:val="nil"/>
              <w:left w:val="nil"/>
              <w:bottom w:val="single" w:sz="8" w:space="0" w:color="auto"/>
              <w:right w:val="nil"/>
            </w:tcBorders>
            <w:shd w:val="clear" w:color="auto" w:fill="F2DBDB" w:themeFill="accent2" w:themeFillTint="33"/>
            <w:textDirection w:val="btLr"/>
            <w:vAlign w:val="center"/>
            <w:hideMark/>
          </w:tcPr>
          <w:p w14:paraId="39979231"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 xml:space="preserve">Sin información </w:t>
            </w:r>
          </w:p>
        </w:tc>
        <w:tc>
          <w:tcPr>
            <w:tcW w:w="645" w:type="dxa"/>
            <w:tcBorders>
              <w:top w:val="nil"/>
              <w:left w:val="single" w:sz="8" w:space="0" w:color="auto"/>
              <w:bottom w:val="single" w:sz="8" w:space="0" w:color="auto"/>
              <w:right w:val="single" w:sz="8" w:space="0" w:color="auto"/>
            </w:tcBorders>
            <w:shd w:val="clear" w:color="auto" w:fill="F2DBDB" w:themeFill="accent2" w:themeFillTint="33"/>
            <w:textDirection w:val="btLr"/>
            <w:vAlign w:val="center"/>
            <w:hideMark/>
          </w:tcPr>
          <w:p w14:paraId="06D03832"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TOTAL</w:t>
            </w:r>
          </w:p>
        </w:tc>
        <w:tc>
          <w:tcPr>
            <w:tcW w:w="757" w:type="dxa"/>
            <w:tcBorders>
              <w:top w:val="nil"/>
              <w:left w:val="nil"/>
              <w:bottom w:val="single" w:sz="8" w:space="0" w:color="auto"/>
              <w:right w:val="single" w:sz="8" w:space="0" w:color="auto"/>
            </w:tcBorders>
            <w:shd w:val="clear" w:color="auto" w:fill="F2DBDB" w:themeFill="accent2" w:themeFillTint="33"/>
            <w:textDirection w:val="btLr"/>
            <w:vAlign w:val="center"/>
            <w:hideMark/>
          </w:tcPr>
          <w:p w14:paraId="7D089A32"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 </w:t>
            </w:r>
          </w:p>
        </w:tc>
      </w:tr>
      <w:tr w:rsidR="00E70950" w:rsidRPr="004364ED" w14:paraId="735A8DA8" w14:textId="77777777" w:rsidTr="00E70950">
        <w:trPr>
          <w:trHeight w:val="224"/>
        </w:trPr>
        <w:tc>
          <w:tcPr>
            <w:tcW w:w="1822" w:type="dxa"/>
            <w:tcBorders>
              <w:top w:val="nil"/>
              <w:left w:val="single" w:sz="8" w:space="0" w:color="auto"/>
              <w:bottom w:val="single" w:sz="4" w:space="0" w:color="auto"/>
              <w:right w:val="single" w:sz="8" w:space="0" w:color="auto"/>
            </w:tcBorders>
            <w:shd w:val="clear" w:color="auto" w:fill="FFFF00"/>
            <w:vAlign w:val="center"/>
            <w:hideMark/>
          </w:tcPr>
          <w:p w14:paraId="674C1C8D" w14:textId="77777777" w:rsidR="00E70950" w:rsidRPr="002A0082" w:rsidRDefault="00E70950" w:rsidP="00E70950">
            <w:pPr>
              <w:ind w:firstLineChars="100" w:firstLine="200"/>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(00 a 04)</w:t>
            </w:r>
          </w:p>
        </w:tc>
        <w:tc>
          <w:tcPr>
            <w:tcW w:w="857" w:type="dxa"/>
            <w:tcBorders>
              <w:top w:val="nil"/>
              <w:left w:val="nil"/>
              <w:bottom w:val="single" w:sz="4" w:space="0" w:color="auto"/>
              <w:right w:val="single" w:sz="4" w:space="0" w:color="auto"/>
            </w:tcBorders>
            <w:shd w:val="clear" w:color="auto" w:fill="FFFF00"/>
            <w:noWrap/>
            <w:vAlign w:val="center"/>
            <w:hideMark/>
          </w:tcPr>
          <w:p w14:paraId="6DF0287C"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627</w:t>
            </w:r>
          </w:p>
        </w:tc>
        <w:tc>
          <w:tcPr>
            <w:tcW w:w="847" w:type="dxa"/>
            <w:tcBorders>
              <w:top w:val="nil"/>
              <w:left w:val="nil"/>
              <w:bottom w:val="single" w:sz="4" w:space="0" w:color="auto"/>
              <w:right w:val="single" w:sz="4" w:space="0" w:color="auto"/>
            </w:tcBorders>
            <w:shd w:val="clear" w:color="auto" w:fill="FFFF00"/>
            <w:noWrap/>
            <w:vAlign w:val="center"/>
            <w:hideMark/>
          </w:tcPr>
          <w:p w14:paraId="314E0007"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9" w:type="dxa"/>
            <w:tcBorders>
              <w:top w:val="nil"/>
              <w:left w:val="nil"/>
              <w:bottom w:val="single" w:sz="4" w:space="0" w:color="auto"/>
              <w:right w:val="nil"/>
            </w:tcBorders>
            <w:shd w:val="clear" w:color="auto" w:fill="FFFF00"/>
            <w:noWrap/>
            <w:vAlign w:val="center"/>
            <w:hideMark/>
          </w:tcPr>
          <w:p w14:paraId="1863E470"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4B3F52A3"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627</w:t>
            </w:r>
          </w:p>
        </w:tc>
        <w:tc>
          <w:tcPr>
            <w:tcW w:w="862" w:type="dxa"/>
            <w:tcBorders>
              <w:top w:val="nil"/>
              <w:left w:val="nil"/>
              <w:bottom w:val="single" w:sz="4" w:space="0" w:color="auto"/>
              <w:right w:val="single" w:sz="4" w:space="0" w:color="auto"/>
            </w:tcBorders>
            <w:shd w:val="clear" w:color="auto" w:fill="FFFF00"/>
            <w:noWrap/>
            <w:vAlign w:val="center"/>
            <w:hideMark/>
          </w:tcPr>
          <w:p w14:paraId="575208A9"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2.117</w:t>
            </w:r>
          </w:p>
        </w:tc>
        <w:tc>
          <w:tcPr>
            <w:tcW w:w="849" w:type="dxa"/>
            <w:tcBorders>
              <w:top w:val="nil"/>
              <w:left w:val="nil"/>
              <w:bottom w:val="single" w:sz="4" w:space="0" w:color="auto"/>
              <w:right w:val="single" w:sz="4" w:space="0" w:color="auto"/>
            </w:tcBorders>
            <w:shd w:val="clear" w:color="auto" w:fill="FFFF00"/>
            <w:noWrap/>
            <w:vAlign w:val="center"/>
            <w:hideMark/>
          </w:tcPr>
          <w:p w14:paraId="0123263F"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8" w:type="dxa"/>
            <w:tcBorders>
              <w:top w:val="nil"/>
              <w:left w:val="nil"/>
              <w:bottom w:val="single" w:sz="4" w:space="0" w:color="auto"/>
              <w:right w:val="single" w:sz="4" w:space="0" w:color="auto"/>
            </w:tcBorders>
            <w:shd w:val="clear" w:color="auto" w:fill="FFFF00"/>
            <w:noWrap/>
            <w:vAlign w:val="center"/>
            <w:hideMark/>
          </w:tcPr>
          <w:p w14:paraId="3C7EF31D"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6D416A2A"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2.117</w:t>
            </w:r>
          </w:p>
        </w:tc>
        <w:tc>
          <w:tcPr>
            <w:tcW w:w="757" w:type="dxa"/>
            <w:tcBorders>
              <w:top w:val="nil"/>
              <w:left w:val="nil"/>
              <w:bottom w:val="single" w:sz="8" w:space="0" w:color="auto"/>
              <w:right w:val="single" w:sz="8" w:space="0" w:color="auto"/>
            </w:tcBorders>
            <w:shd w:val="clear" w:color="auto" w:fill="FFFF00"/>
            <w:noWrap/>
            <w:vAlign w:val="center"/>
            <w:hideMark/>
          </w:tcPr>
          <w:p w14:paraId="0192AF45"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2.744</w:t>
            </w:r>
          </w:p>
        </w:tc>
      </w:tr>
      <w:tr w:rsidR="00E70950" w:rsidRPr="004364ED" w14:paraId="6B2BC930" w14:textId="77777777" w:rsidTr="00E70950">
        <w:trPr>
          <w:trHeight w:val="175"/>
        </w:trPr>
        <w:tc>
          <w:tcPr>
            <w:tcW w:w="1822" w:type="dxa"/>
            <w:tcBorders>
              <w:top w:val="nil"/>
              <w:left w:val="single" w:sz="8" w:space="0" w:color="auto"/>
              <w:bottom w:val="single" w:sz="4" w:space="0" w:color="auto"/>
              <w:right w:val="single" w:sz="8" w:space="0" w:color="auto"/>
            </w:tcBorders>
            <w:shd w:val="clear" w:color="auto" w:fill="FFFF00"/>
            <w:vAlign w:val="center"/>
            <w:hideMark/>
          </w:tcPr>
          <w:p w14:paraId="73F94A95" w14:textId="77777777" w:rsidR="00E70950" w:rsidRPr="002A0082" w:rsidRDefault="00E70950" w:rsidP="00E70950">
            <w:pPr>
              <w:ind w:firstLineChars="100" w:firstLine="200"/>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(05 a 09)</w:t>
            </w:r>
          </w:p>
        </w:tc>
        <w:tc>
          <w:tcPr>
            <w:tcW w:w="857" w:type="dxa"/>
            <w:tcBorders>
              <w:top w:val="nil"/>
              <w:left w:val="nil"/>
              <w:bottom w:val="single" w:sz="4" w:space="0" w:color="auto"/>
              <w:right w:val="single" w:sz="4" w:space="0" w:color="auto"/>
            </w:tcBorders>
            <w:shd w:val="clear" w:color="auto" w:fill="FFFF00"/>
            <w:noWrap/>
            <w:vAlign w:val="center"/>
            <w:hideMark/>
          </w:tcPr>
          <w:p w14:paraId="3DAF38BB"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1.283</w:t>
            </w:r>
          </w:p>
        </w:tc>
        <w:tc>
          <w:tcPr>
            <w:tcW w:w="847" w:type="dxa"/>
            <w:tcBorders>
              <w:top w:val="nil"/>
              <w:left w:val="nil"/>
              <w:bottom w:val="single" w:sz="4" w:space="0" w:color="auto"/>
              <w:right w:val="single" w:sz="4" w:space="0" w:color="auto"/>
            </w:tcBorders>
            <w:shd w:val="clear" w:color="auto" w:fill="FFFF00"/>
            <w:noWrap/>
            <w:vAlign w:val="center"/>
            <w:hideMark/>
          </w:tcPr>
          <w:p w14:paraId="0620287E"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9" w:type="dxa"/>
            <w:tcBorders>
              <w:top w:val="nil"/>
              <w:left w:val="nil"/>
              <w:bottom w:val="single" w:sz="4" w:space="0" w:color="auto"/>
              <w:right w:val="nil"/>
            </w:tcBorders>
            <w:shd w:val="clear" w:color="auto" w:fill="FFFF00"/>
            <w:noWrap/>
            <w:vAlign w:val="center"/>
            <w:hideMark/>
          </w:tcPr>
          <w:p w14:paraId="1ABE12FD"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08EB23A5"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1.283</w:t>
            </w:r>
          </w:p>
        </w:tc>
        <w:tc>
          <w:tcPr>
            <w:tcW w:w="862" w:type="dxa"/>
            <w:tcBorders>
              <w:top w:val="nil"/>
              <w:left w:val="nil"/>
              <w:bottom w:val="single" w:sz="4" w:space="0" w:color="auto"/>
              <w:right w:val="single" w:sz="4" w:space="0" w:color="auto"/>
            </w:tcBorders>
            <w:shd w:val="clear" w:color="auto" w:fill="FFFF00"/>
            <w:noWrap/>
            <w:vAlign w:val="center"/>
            <w:hideMark/>
          </w:tcPr>
          <w:p w14:paraId="3FC3191A"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4.917</w:t>
            </w:r>
          </w:p>
        </w:tc>
        <w:tc>
          <w:tcPr>
            <w:tcW w:w="849" w:type="dxa"/>
            <w:tcBorders>
              <w:top w:val="nil"/>
              <w:left w:val="nil"/>
              <w:bottom w:val="single" w:sz="4" w:space="0" w:color="auto"/>
              <w:right w:val="single" w:sz="4" w:space="0" w:color="auto"/>
            </w:tcBorders>
            <w:shd w:val="clear" w:color="auto" w:fill="FFFF00"/>
            <w:noWrap/>
            <w:vAlign w:val="center"/>
            <w:hideMark/>
          </w:tcPr>
          <w:p w14:paraId="3AA6E212"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8" w:type="dxa"/>
            <w:tcBorders>
              <w:top w:val="nil"/>
              <w:left w:val="nil"/>
              <w:bottom w:val="single" w:sz="4" w:space="0" w:color="auto"/>
              <w:right w:val="single" w:sz="4" w:space="0" w:color="auto"/>
            </w:tcBorders>
            <w:shd w:val="clear" w:color="auto" w:fill="FFFF00"/>
            <w:noWrap/>
            <w:vAlign w:val="center"/>
            <w:hideMark/>
          </w:tcPr>
          <w:p w14:paraId="2F3BAE66"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1F9E3B13"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4.917</w:t>
            </w:r>
          </w:p>
        </w:tc>
        <w:tc>
          <w:tcPr>
            <w:tcW w:w="757" w:type="dxa"/>
            <w:tcBorders>
              <w:top w:val="nil"/>
              <w:left w:val="nil"/>
              <w:bottom w:val="single" w:sz="8" w:space="0" w:color="auto"/>
              <w:right w:val="single" w:sz="8" w:space="0" w:color="auto"/>
            </w:tcBorders>
            <w:shd w:val="clear" w:color="auto" w:fill="FFFF00"/>
            <w:noWrap/>
            <w:vAlign w:val="center"/>
            <w:hideMark/>
          </w:tcPr>
          <w:p w14:paraId="144D0E57"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6.200</w:t>
            </w:r>
          </w:p>
        </w:tc>
      </w:tr>
      <w:tr w:rsidR="00E70950" w:rsidRPr="004364ED" w14:paraId="0370FF9E" w14:textId="77777777" w:rsidTr="00E70950">
        <w:trPr>
          <w:trHeight w:val="340"/>
        </w:trPr>
        <w:tc>
          <w:tcPr>
            <w:tcW w:w="1822" w:type="dxa"/>
            <w:tcBorders>
              <w:top w:val="nil"/>
              <w:left w:val="single" w:sz="8" w:space="0" w:color="auto"/>
              <w:bottom w:val="single" w:sz="4" w:space="0" w:color="auto"/>
              <w:right w:val="single" w:sz="8" w:space="0" w:color="auto"/>
            </w:tcBorders>
            <w:shd w:val="clear" w:color="auto" w:fill="FFFF00"/>
            <w:vAlign w:val="center"/>
            <w:hideMark/>
          </w:tcPr>
          <w:p w14:paraId="09D22F60" w14:textId="77777777" w:rsidR="00E70950" w:rsidRPr="002A0082" w:rsidRDefault="00E70950" w:rsidP="00E70950">
            <w:pPr>
              <w:ind w:firstLineChars="100" w:firstLine="200"/>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(10 a 14)</w:t>
            </w:r>
          </w:p>
        </w:tc>
        <w:tc>
          <w:tcPr>
            <w:tcW w:w="857" w:type="dxa"/>
            <w:tcBorders>
              <w:top w:val="nil"/>
              <w:left w:val="nil"/>
              <w:bottom w:val="single" w:sz="4" w:space="0" w:color="auto"/>
              <w:right w:val="single" w:sz="4" w:space="0" w:color="auto"/>
            </w:tcBorders>
            <w:shd w:val="clear" w:color="auto" w:fill="FFFF00"/>
            <w:noWrap/>
            <w:vAlign w:val="center"/>
            <w:hideMark/>
          </w:tcPr>
          <w:p w14:paraId="5F702FF1"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1.079</w:t>
            </w:r>
          </w:p>
        </w:tc>
        <w:tc>
          <w:tcPr>
            <w:tcW w:w="847" w:type="dxa"/>
            <w:tcBorders>
              <w:top w:val="nil"/>
              <w:left w:val="nil"/>
              <w:bottom w:val="single" w:sz="4" w:space="0" w:color="auto"/>
              <w:right w:val="single" w:sz="4" w:space="0" w:color="auto"/>
            </w:tcBorders>
            <w:shd w:val="clear" w:color="auto" w:fill="FFFF00"/>
            <w:noWrap/>
            <w:vAlign w:val="center"/>
            <w:hideMark/>
          </w:tcPr>
          <w:p w14:paraId="6DEC27FC"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9" w:type="dxa"/>
            <w:tcBorders>
              <w:top w:val="nil"/>
              <w:left w:val="nil"/>
              <w:bottom w:val="single" w:sz="4" w:space="0" w:color="auto"/>
              <w:right w:val="nil"/>
            </w:tcBorders>
            <w:shd w:val="clear" w:color="auto" w:fill="FFFF00"/>
            <w:noWrap/>
            <w:vAlign w:val="center"/>
            <w:hideMark/>
          </w:tcPr>
          <w:p w14:paraId="17C6DCEB"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4315EC47"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1.079</w:t>
            </w:r>
          </w:p>
        </w:tc>
        <w:tc>
          <w:tcPr>
            <w:tcW w:w="862" w:type="dxa"/>
            <w:tcBorders>
              <w:top w:val="nil"/>
              <w:left w:val="nil"/>
              <w:bottom w:val="single" w:sz="4" w:space="0" w:color="auto"/>
              <w:right w:val="single" w:sz="4" w:space="0" w:color="auto"/>
            </w:tcBorders>
            <w:shd w:val="clear" w:color="auto" w:fill="FFFF00"/>
            <w:noWrap/>
            <w:vAlign w:val="center"/>
            <w:hideMark/>
          </w:tcPr>
          <w:p w14:paraId="3B162F84"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9.166</w:t>
            </w:r>
          </w:p>
        </w:tc>
        <w:tc>
          <w:tcPr>
            <w:tcW w:w="849" w:type="dxa"/>
            <w:tcBorders>
              <w:top w:val="nil"/>
              <w:left w:val="nil"/>
              <w:bottom w:val="single" w:sz="4" w:space="0" w:color="auto"/>
              <w:right w:val="single" w:sz="4" w:space="0" w:color="auto"/>
            </w:tcBorders>
            <w:shd w:val="clear" w:color="auto" w:fill="FFFF00"/>
            <w:noWrap/>
            <w:vAlign w:val="center"/>
            <w:hideMark/>
          </w:tcPr>
          <w:p w14:paraId="5D29BEFB"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8" w:type="dxa"/>
            <w:tcBorders>
              <w:top w:val="nil"/>
              <w:left w:val="nil"/>
              <w:bottom w:val="single" w:sz="4" w:space="0" w:color="auto"/>
              <w:right w:val="single" w:sz="4" w:space="0" w:color="auto"/>
            </w:tcBorders>
            <w:shd w:val="clear" w:color="auto" w:fill="FFFF00"/>
            <w:noWrap/>
            <w:vAlign w:val="center"/>
            <w:hideMark/>
          </w:tcPr>
          <w:p w14:paraId="25908FD5"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35EAA064"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9.166</w:t>
            </w:r>
          </w:p>
        </w:tc>
        <w:tc>
          <w:tcPr>
            <w:tcW w:w="757" w:type="dxa"/>
            <w:tcBorders>
              <w:top w:val="nil"/>
              <w:left w:val="nil"/>
              <w:bottom w:val="single" w:sz="8" w:space="0" w:color="auto"/>
              <w:right w:val="single" w:sz="8" w:space="0" w:color="auto"/>
            </w:tcBorders>
            <w:shd w:val="clear" w:color="auto" w:fill="FFFF00"/>
            <w:noWrap/>
            <w:vAlign w:val="center"/>
            <w:hideMark/>
          </w:tcPr>
          <w:p w14:paraId="0517F725"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10.245</w:t>
            </w:r>
          </w:p>
        </w:tc>
      </w:tr>
      <w:tr w:rsidR="00E70950" w:rsidRPr="004364ED" w14:paraId="4AEF972B" w14:textId="77777777" w:rsidTr="00E70950">
        <w:trPr>
          <w:trHeight w:val="340"/>
        </w:trPr>
        <w:tc>
          <w:tcPr>
            <w:tcW w:w="1822" w:type="dxa"/>
            <w:tcBorders>
              <w:top w:val="nil"/>
              <w:left w:val="single" w:sz="8" w:space="0" w:color="auto"/>
              <w:bottom w:val="single" w:sz="4" w:space="0" w:color="auto"/>
              <w:right w:val="single" w:sz="8" w:space="0" w:color="auto"/>
            </w:tcBorders>
            <w:shd w:val="clear" w:color="auto" w:fill="FFFF00"/>
            <w:vAlign w:val="center"/>
            <w:hideMark/>
          </w:tcPr>
          <w:p w14:paraId="210AF437" w14:textId="77777777" w:rsidR="00E70950" w:rsidRPr="002A0082" w:rsidRDefault="00E70950" w:rsidP="00E70950">
            <w:pPr>
              <w:ind w:firstLineChars="100" w:firstLine="200"/>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(15 a 17)</w:t>
            </w:r>
          </w:p>
        </w:tc>
        <w:tc>
          <w:tcPr>
            <w:tcW w:w="857" w:type="dxa"/>
            <w:tcBorders>
              <w:top w:val="nil"/>
              <w:left w:val="nil"/>
              <w:bottom w:val="single" w:sz="4" w:space="0" w:color="auto"/>
              <w:right w:val="single" w:sz="4" w:space="0" w:color="auto"/>
            </w:tcBorders>
            <w:shd w:val="clear" w:color="auto" w:fill="FFFF00"/>
            <w:noWrap/>
            <w:vAlign w:val="center"/>
            <w:hideMark/>
          </w:tcPr>
          <w:p w14:paraId="3C47B514"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295</w:t>
            </w:r>
          </w:p>
        </w:tc>
        <w:tc>
          <w:tcPr>
            <w:tcW w:w="847" w:type="dxa"/>
            <w:tcBorders>
              <w:top w:val="nil"/>
              <w:left w:val="nil"/>
              <w:bottom w:val="single" w:sz="4" w:space="0" w:color="auto"/>
              <w:right w:val="single" w:sz="4" w:space="0" w:color="auto"/>
            </w:tcBorders>
            <w:shd w:val="clear" w:color="auto" w:fill="FFFF00"/>
            <w:noWrap/>
            <w:vAlign w:val="center"/>
            <w:hideMark/>
          </w:tcPr>
          <w:p w14:paraId="25FA849A"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9" w:type="dxa"/>
            <w:tcBorders>
              <w:top w:val="nil"/>
              <w:left w:val="nil"/>
              <w:bottom w:val="single" w:sz="4" w:space="0" w:color="auto"/>
              <w:right w:val="nil"/>
            </w:tcBorders>
            <w:shd w:val="clear" w:color="auto" w:fill="FFFF00"/>
            <w:noWrap/>
            <w:vAlign w:val="center"/>
            <w:hideMark/>
          </w:tcPr>
          <w:p w14:paraId="16BDD49A"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0B91C475"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295</w:t>
            </w:r>
          </w:p>
        </w:tc>
        <w:tc>
          <w:tcPr>
            <w:tcW w:w="862" w:type="dxa"/>
            <w:tcBorders>
              <w:top w:val="nil"/>
              <w:left w:val="nil"/>
              <w:bottom w:val="single" w:sz="4" w:space="0" w:color="auto"/>
              <w:right w:val="single" w:sz="4" w:space="0" w:color="auto"/>
            </w:tcBorders>
            <w:shd w:val="clear" w:color="auto" w:fill="FFFF00"/>
            <w:noWrap/>
            <w:vAlign w:val="center"/>
            <w:hideMark/>
          </w:tcPr>
          <w:p w14:paraId="722A6BEE"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2.727</w:t>
            </w:r>
          </w:p>
        </w:tc>
        <w:tc>
          <w:tcPr>
            <w:tcW w:w="849" w:type="dxa"/>
            <w:tcBorders>
              <w:top w:val="nil"/>
              <w:left w:val="nil"/>
              <w:bottom w:val="single" w:sz="4" w:space="0" w:color="auto"/>
              <w:right w:val="single" w:sz="4" w:space="0" w:color="auto"/>
            </w:tcBorders>
            <w:shd w:val="clear" w:color="auto" w:fill="FFFF00"/>
            <w:noWrap/>
            <w:vAlign w:val="center"/>
            <w:hideMark/>
          </w:tcPr>
          <w:p w14:paraId="607B88D6"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848" w:type="dxa"/>
            <w:tcBorders>
              <w:top w:val="nil"/>
              <w:left w:val="nil"/>
              <w:bottom w:val="single" w:sz="4" w:space="0" w:color="auto"/>
              <w:right w:val="single" w:sz="4" w:space="0" w:color="auto"/>
            </w:tcBorders>
            <w:shd w:val="clear" w:color="auto" w:fill="FFFF00"/>
            <w:noWrap/>
            <w:vAlign w:val="center"/>
            <w:hideMark/>
          </w:tcPr>
          <w:p w14:paraId="7E3D71D9" w14:textId="77777777" w:rsidR="00E70950" w:rsidRPr="002A0082" w:rsidRDefault="00E70950" w:rsidP="00E70950">
            <w:pPr>
              <w:jc w:val="center"/>
              <w:rPr>
                <w:rFonts w:ascii="Century Gothic" w:hAnsi="Century Gothic"/>
                <w:color w:val="000000" w:themeColor="text1"/>
                <w:sz w:val="20"/>
                <w:szCs w:val="20"/>
              </w:rPr>
            </w:pPr>
            <w:r w:rsidRPr="002A0082">
              <w:rPr>
                <w:rFonts w:ascii="Century Gothic" w:hAnsi="Century Gothic"/>
                <w:color w:val="000000" w:themeColor="text1"/>
                <w:sz w:val="20"/>
                <w:szCs w:val="20"/>
              </w:rPr>
              <w:t>-</w:t>
            </w:r>
          </w:p>
        </w:tc>
        <w:tc>
          <w:tcPr>
            <w:tcW w:w="645" w:type="dxa"/>
            <w:tcBorders>
              <w:top w:val="nil"/>
              <w:left w:val="single" w:sz="8" w:space="0" w:color="auto"/>
              <w:bottom w:val="single" w:sz="8" w:space="0" w:color="auto"/>
              <w:right w:val="single" w:sz="8" w:space="0" w:color="auto"/>
            </w:tcBorders>
            <w:shd w:val="clear" w:color="auto" w:fill="FFFF00"/>
            <w:noWrap/>
            <w:vAlign w:val="center"/>
            <w:hideMark/>
          </w:tcPr>
          <w:p w14:paraId="1645988E"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2.727</w:t>
            </w:r>
          </w:p>
        </w:tc>
        <w:tc>
          <w:tcPr>
            <w:tcW w:w="757" w:type="dxa"/>
            <w:tcBorders>
              <w:top w:val="nil"/>
              <w:left w:val="nil"/>
              <w:bottom w:val="single" w:sz="8" w:space="0" w:color="auto"/>
              <w:right w:val="single" w:sz="8" w:space="0" w:color="auto"/>
            </w:tcBorders>
            <w:shd w:val="clear" w:color="auto" w:fill="FFFF00"/>
            <w:noWrap/>
            <w:vAlign w:val="center"/>
            <w:hideMark/>
          </w:tcPr>
          <w:p w14:paraId="06FA49D8" w14:textId="77777777" w:rsidR="00E70950" w:rsidRPr="002A0082" w:rsidRDefault="00E70950" w:rsidP="00E70950">
            <w:pPr>
              <w:jc w:val="center"/>
              <w:rPr>
                <w:rFonts w:ascii="Century Gothic" w:hAnsi="Century Gothic"/>
                <w:b/>
                <w:bCs/>
                <w:color w:val="000000" w:themeColor="text1"/>
                <w:sz w:val="20"/>
                <w:szCs w:val="20"/>
              </w:rPr>
            </w:pPr>
            <w:r w:rsidRPr="002A0082">
              <w:rPr>
                <w:rFonts w:ascii="Century Gothic" w:hAnsi="Century Gothic"/>
                <w:b/>
                <w:bCs/>
                <w:color w:val="000000" w:themeColor="text1"/>
                <w:sz w:val="20"/>
                <w:szCs w:val="20"/>
              </w:rPr>
              <w:t>3.022</w:t>
            </w:r>
          </w:p>
        </w:tc>
      </w:tr>
    </w:tbl>
    <w:p w14:paraId="64F5F1B0" w14:textId="77777777" w:rsidR="00E16086" w:rsidRPr="002D6F59" w:rsidRDefault="00E16086" w:rsidP="00B17AB2">
      <w:pPr>
        <w:spacing w:line="276" w:lineRule="auto"/>
        <w:jc w:val="both"/>
        <w:rPr>
          <w:rFonts w:ascii="Century Gothic" w:hAnsi="Century Gothic" w:cs="Arial"/>
          <w:lang w:val="es-CO" w:eastAsia="es-ES"/>
        </w:rPr>
      </w:pPr>
    </w:p>
    <w:tbl>
      <w:tblPr>
        <w:tblStyle w:val="Tablaconcuadrcula"/>
        <w:tblW w:w="0" w:type="auto"/>
        <w:jc w:val="center"/>
        <w:tblLook w:val="04A0" w:firstRow="1" w:lastRow="0" w:firstColumn="1" w:lastColumn="0" w:noHBand="0" w:noVBand="1"/>
      </w:tblPr>
      <w:tblGrid>
        <w:gridCol w:w="4653"/>
        <w:gridCol w:w="1296"/>
      </w:tblGrid>
      <w:tr w:rsidR="000641A9" w:rsidRPr="002D6F59" w14:paraId="550AD7F7" w14:textId="7534F2F0" w:rsidTr="000641A9">
        <w:trPr>
          <w:jc w:val="center"/>
        </w:trPr>
        <w:tc>
          <w:tcPr>
            <w:tcW w:w="4653" w:type="dxa"/>
            <w:shd w:val="clear" w:color="auto" w:fill="F2DBDB" w:themeFill="accent2" w:themeFillTint="33"/>
          </w:tcPr>
          <w:p w14:paraId="4A45EA84"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Amazonas</w:t>
            </w:r>
          </w:p>
        </w:tc>
        <w:tc>
          <w:tcPr>
            <w:tcW w:w="1296" w:type="dxa"/>
            <w:shd w:val="clear" w:color="auto" w:fill="F2DBDB" w:themeFill="accent2" w:themeFillTint="33"/>
          </w:tcPr>
          <w:p w14:paraId="0B58E18B" w14:textId="6DE7A79C" w:rsidR="000641A9" w:rsidRPr="002D6F59" w:rsidRDefault="005D2238"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71</w:t>
            </w:r>
          </w:p>
        </w:tc>
      </w:tr>
      <w:tr w:rsidR="000641A9" w:rsidRPr="002D6F59" w14:paraId="43489D64" w14:textId="6BD14AD0" w:rsidTr="000641A9">
        <w:trPr>
          <w:jc w:val="center"/>
        </w:trPr>
        <w:tc>
          <w:tcPr>
            <w:tcW w:w="4653" w:type="dxa"/>
            <w:shd w:val="clear" w:color="auto" w:fill="FFFF00"/>
          </w:tcPr>
          <w:p w14:paraId="1C0C065C" w14:textId="77777777" w:rsidR="000641A9" w:rsidRPr="002D6F59" w:rsidRDefault="000641A9" w:rsidP="00B17AB2">
            <w:pPr>
              <w:spacing w:line="276" w:lineRule="auto"/>
              <w:jc w:val="center"/>
              <w:rPr>
                <w:rFonts w:ascii="Century Gothic" w:hAnsi="Century Gothic" w:cs="Arial"/>
                <w:b/>
                <w:sz w:val="20"/>
                <w:szCs w:val="20"/>
                <w:lang w:val="es-CO" w:eastAsia="es-ES"/>
              </w:rPr>
            </w:pPr>
            <w:r w:rsidRPr="002D6F59">
              <w:rPr>
                <w:rFonts w:ascii="Century Gothic" w:hAnsi="Century Gothic" w:cs="Arial"/>
                <w:b/>
                <w:color w:val="404040"/>
                <w:sz w:val="20"/>
                <w:szCs w:val="20"/>
              </w:rPr>
              <w:t>Antioquia</w:t>
            </w:r>
          </w:p>
        </w:tc>
        <w:tc>
          <w:tcPr>
            <w:tcW w:w="1296" w:type="dxa"/>
            <w:shd w:val="clear" w:color="auto" w:fill="FFFF00"/>
          </w:tcPr>
          <w:p w14:paraId="57300C0A" w14:textId="042F53AD" w:rsidR="000641A9" w:rsidRPr="002D6F59" w:rsidRDefault="00410949"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2.378</w:t>
            </w:r>
          </w:p>
        </w:tc>
      </w:tr>
      <w:tr w:rsidR="000641A9" w:rsidRPr="002D6F59" w14:paraId="2DB862F5" w14:textId="694ACCD9" w:rsidTr="000641A9">
        <w:trPr>
          <w:jc w:val="center"/>
        </w:trPr>
        <w:tc>
          <w:tcPr>
            <w:tcW w:w="4653" w:type="dxa"/>
            <w:shd w:val="clear" w:color="auto" w:fill="F2DBDB" w:themeFill="accent2" w:themeFillTint="33"/>
          </w:tcPr>
          <w:p w14:paraId="53CACBC3"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Arauca</w:t>
            </w:r>
          </w:p>
        </w:tc>
        <w:tc>
          <w:tcPr>
            <w:tcW w:w="1296" w:type="dxa"/>
            <w:shd w:val="clear" w:color="auto" w:fill="F2DBDB" w:themeFill="accent2" w:themeFillTint="33"/>
          </w:tcPr>
          <w:p w14:paraId="75A18C47" w14:textId="758EF79C"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293</w:t>
            </w:r>
          </w:p>
        </w:tc>
      </w:tr>
      <w:tr w:rsidR="000641A9" w:rsidRPr="002D6F59" w14:paraId="46D4730C" w14:textId="518F6BC4" w:rsidTr="000641A9">
        <w:trPr>
          <w:trHeight w:val="223"/>
          <w:jc w:val="center"/>
        </w:trPr>
        <w:tc>
          <w:tcPr>
            <w:tcW w:w="4653" w:type="dxa"/>
            <w:shd w:val="clear" w:color="auto" w:fill="F2DBDB" w:themeFill="accent2" w:themeFillTint="33"/>
          </w:tcPr>
          <w:p w14:paraId="15B90AED"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Archipiélago de San Andrés y Providencia</w:t>
            </w:r>
          </w:p>
        </w:tc>
        <w:tc>
          <w:tcPr>
            <w:tcW w:w="1296" w:type="dxa"/>
            <w:shd w:val="clear" w:color="auto" w:fill="F2DBDB" w:themeFill="accent2" w:themeFillTint="33"/>
          </w:tcPr>
          <w:p w14:paraId="06260E4E" w14:textId="39B6F69F"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23</w:t>
            </w:r>
          </w:p>
        </w:tc>
      </w:tr>
      <w:tr w:rsidR="000641A9" w:rsidRPr="002D6F59" w14:paraId="602A52B8" w14:textId="7CFF807A" w:rsidTr="000641A9">
        <w:trPr>
          <w:trHeight w:val="265"/>
          <w:jc w:val="center"/>
        </w:trPr>
        <w:tc>
          <w:tcPr>
            <w:tcW w:w="4653" w:type="dxa"/>
            <w:shd w:val="clear" w:color="auto" w:fill="F2DBDB" w:themeFill="accent2" w:themeFillTint="33"/>
          </w:tcPr>
          <w:p w14:paraId="5F4E5B84"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Atlántico</w:t>
            </w:r>
          </w:p>
        </w:tc>
        <w:tc>
          <w:tcPr>
            <w:tcW w:w="1296" w:type="dxa"/>
            <w:shd w:val="clear" w:color="auto" w:fill="F2DBDB" w:themeFill="accent2" w:themeFillTint="33"/>
          </w:tcPr>
          <w:p w14:paraId="70F0C6B9" w14:textId="0E441FBC" w:rsidR="000641A9" w:rsidRPr="002D6F59" w:rsidRDefault="000641A9"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w:t>
            </w:r>
            <w:r w:rsidR="005D2238">
              <w:rPr>
                <w:rFonts w:ascii="Century Gothic" w:hAnsi="Century Gothic" w:cs="Arial"/>
                <w:color w:val="404040"/>
                <w:sz w:val="20"/>
                <w:szCs w:val="20"/>
              </w:rPr>
              <w:t>221</w:t>
            </w:r>
          </w:p>
        </w:tc>
      </w:tr>
      <w:tr w:rsidR="000641A9" w:rsidRPr="002D6F59" w14:paraId="1E8CD34D" w14:textId="60049187" w:rsidTr="000641A9">
        <w:trPr>
          <w:jc w:val="center"/>
        </w:trPr>
        <w:tc>
          <w:tcPr>
            <w:tcW w:w="4653" w:type="dxa"/>
            <w:shd w:val="clear" w:color="auto" w:fill="FFFF00"/>
          </w:tcPr>
          <w:p w14:paraId="52B445BE" w14:textId="77777777" w:rsidR="000641A9" w:rsidRPr="002D6F59" w:rsidRDefault="000641A9" w:rsidP="00B17AB2">
            <w:pPr>
              <w:spacing w:line="276" w:lineRule="auto"/>
              <w:jc w:val="center"/>
              <w:rPr>
                <w:rFonts w:ascii="Century Gothic" w:hAnsi="Century Gothic" w:cs="Arial"/>
                <w:b/>
                <w:color w:val="404040"/>
                <w:sz w:val="20"/>
                <w:szCs w:val="20"/>
                <w:highlight w:val="yellow"/>
              </w:rPr>
            </w:pPr>
            <w:r w:rsidRPr="002D6F59">
              <w:rPr>
                <w:rFonts w:ascii="Century Gothic" w:hAnsi="Century Gothic" w:cs="Arial"/>
                <w:b/>
                <w:color w:val="404040"/>
                <w:sz w:val="20"/>
                <w:szCs w:val="20"/>
                <w:highlight w:val="yellow"/>
              </w:rPr>
              <w:t>Bogotá</w:t>
            </w:r>
          </w:p>
        </w:tc>
        <w:tc>
          <w:tcPr>
            <w:tcW w:w="1296" w:type="dxa"/>
            <w:shd w:val="clear" w:color="auto" w:fill="FFFF00"/>
          </w:tcPr>
          <w:p w14:paraId="2A4FDEA8" w14:textId="2512CB88" w:rsidR="000641A9" w:rsidRPr="002D6F59" w:rsidRDefault="002A663E" w:rsidP="00B17AB2">
            <w:pPr>
              <w:spacing w:line="276" w:lineRule="auto"/>
              <w:jc w:val="center"/>
              <w:rPr>
                <w:rFonts w:ascii="Century Gothic" w:hAnsi="Century Gothic" w:cs="Arial"/>
                <w:b/>
                <w:color w:val="404040"/>
                <w:sz w:val="20"/>
                <w:szCs w:val="20"/>
                <w:highlight w:val="yellow"/>
              </w:rPr>
            </w:pPr>
            <w:r>
              <w:rPr>
                <w:rFonts w:ascii="Century Gothic" w:hAnsi="Century Gothic" w:cs="Arial"/>
                <w:b/>
                <w:color w:val="404040"/>
                <w:sz w:val="20"/>
                <w:szCs w:val="20"/>
                <w:highlight w:val="yellow"/>
              </w:rPr>
              <w:t>3.750</w:t>
            </w:r>
          </w:p>
        </w:tc>
      </w:tr>
      <w:tr w:rsidR="000641A9" w:rsidRPr="002D6F59" w14:paraId="3897A136" w14:textId="551D9B1C" w:rsidTr="000641A9">
        <w:trPr>
          <w:trHeight w:val="209"/>
          <w:jc w:val="center"/>
        </w:trPr>
        <w:tc>
          <w:tcPr>
            <w:tcW w:w="4653" w:type="dxa"/>
            <w:shd w:val="clear" w:color="auto" w:fill="F2DBDB" w:themeFill="accent2" w:themeFillTint="33"/>
          </w:tcPr>
          <w:p w14:paraId="1B92FDC7"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Bolívar</w:t>
            </w:r>
          </w:p>
        </w:tc>
        <w:tc>
          <w:tcPr>
            <w:tcW w:w="1296" w:type="dxa"/>
            <w:shd w:val="clear" w:color="auto" w:fill="F2DBDB" w:themeFill="accent2" w:themeFillTint="33"/>
          </w:tcPr>
          <w:p w14:paraId="6BD47755" w14:textId="02964645"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901</w:t>
            </w:r>
          </w:p>
        </w:tc>
      </w:tr>
      <w:tr w:rsidR="000641A9" w:rsidRPr="002D6F59" w14:paraId="4292A7BD" w14:textId="50F2E2E0" w:rsidTr="000641A9">
        <w:trPr>
          <w:trHeight w:val="154"/>
          <w:jc w:val="center"/>
        </w:trPr>
        <w:tc>
          <w:tcPr>
            <w:tcW w:w="4653" w:type="dxa"/>
            <w:shd w:val="clear" w:color="auto" w:fill="F2DBDB" w:themeFill="accent2" w:themeFillTint="33"/>
          </w:tcPr>
          <w:p w14:paraId="2C106E75"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Boyacá</w:t>
            </w:r>
          </w:p>
        </w:tc>
        <w:tc>
          <w:tcPr>
            <w:tcW w:w="1296" w:type="dxa"/>
            <w:shd w:val="clear" w:color="auto" w:fill="F2DBDB" w:themeFill="accent2" w:themeFillTint="33"/>
          </w:tcPr>
          <w:p w14:paraId="10F693E7" w14:textId="2391B602"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554</w:t>
            </w:r>
          </w:p>
        </w:tc>
      </w:tr>
      <w:tr w:rsidR="000641A9" w:rsidRPr="002D6F59" w14:paraId="02362353" w14:textId="5E94C74E" w:rsidTr="000641A9">
        <w:trPr>
          <w:jc w:val="center"/>
        </w:trPr>
        <w:tc>
          <w:tcPr>
            <w:tcW w:w="4653" w:type="dxa"/>
            <w:shd w:val="clear" w:color="auto" w:fill="F2DBDB" w:themeFill="accent2" w:themeFillTint="33"/>
          </w:tcPr>
          <w:p w14:paraId="0F39CBE3"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Caldas</w:t>
            </w:r>
          </w:p>
        </w:tc>
        <w:tc>
          <w:tcPr>
            <w:tcW w:w="1296" w:type="dxa"/>
            <w:shd w:val="clear" w:color="auto" w:fill="F2DBDB" w:themeFill="accent2" w:themeFillTint="33"/>
          </w:tcPr>
          <w:p w14:paraId="0CAED2A1" w14:textId="3950FA47"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486</w:t>
            </w:r>
          </w:p>
        </w:tc>
      </w:tr>
      <w:tr w:rsidR="000641A9" w:rsidRPr="002D6F59" w14:paraId="13400B16" w14:textId="29D3356B" w:rsidTr="000641A9">
        <w:trPr>
          <w:jc w:val="center"/>
        </w:trPr>
        <w:tc>
          <w:tcPr>
            <w:tcW w:w="4653" w:type="dxa"/>
            <w:shd w:val="clear" w:color="auto" w:fill="F2DBDB" w:themeFill="accent2" w:themeFillTint="33"/>
          </w:tcPr>
          <w:p w14:paraId="71F5E1AB"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Caquetá</w:t>
            </w:r>
          </w:p>
        </w:tc>
        <w:tc>
          <w:tcPr>
            <w:tcW w:w="1296" w:type="dxa"/>
            <w:shd w:val="clear" w:color="auto" w:fill="F2DBDB" w:themeFill="accent2" w:themeFillTint="33"/>
          </w:tcPr>
          <w:p w14:paraId="26B515ED" w14:textId="35A5A766"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315</w:t>
            </w:r>
          </w:p>
        </w:tc>
      </w:tr>
      <w:tr w:rsidR="000641A9" w:rsidRPr="002D6F59" w14:paraId="7409E3DC" w14:textId="0C16E697" w:rsidTr="000641A9">
        <w:trPr>
          <w:jc w:val="center"/>
        </w:trPr>
        <w:tc>
          <w:tcPr>
            <w:tcW w:w="4653" w:type="dxa"/>
            <w:shd w:val="clear" w:color="auto" w:fill="F2DBDB" w:themeFill="accent2" w:themeFillTint="33"/>
          </w:tcPr>
          <w:p w14:paraId="1AF613FA"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Casanare</w:t>
            </w:r>
          </w:p>
        </w:tc>
        <w:tc>
          <w:tcPr>
            <w:tcW w:w="1296" w:type="dxa"/>
            <w:shd w:val="clear" w:color="auto" w:fill="F2DBDB" w:themeFill="accent2" w:themeFillTint="33"/>
          </w:tcPr>
          <w:p w14:paraId="6598D8E3" w14:textId="13F7DCC9"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382</w:t>
            </w:r>
          </w:p>
        </w:tc>
      </w:tr>
      <w:tr w:rsidR="000641A9" w:rsidRPr="002D6F59" w14:paraId="42C4E434" w14:textId="33C578D9" w:rsidTr="009416F8">
        <w:trPr>
          <w:trHeight w:val="254"/>
          <w:jc w:val="center"/>
        </w:trPr>
        <w:tc>
          <w:tcPr>
            <w:tcW w:w="4653" w:type="dxa"/>
            <w:shd w:val="clear" w:color="auto" w:fill="F2DBDB" w:themeFill="accent2" w:themeFillTint="33"/>
          </w:tcPr>
          <w:p w14:paraId="3A775C65"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Cauca</w:t>
            </w:r>
          </w:p>
        </w:tc>
        <w:tc>
          <w:tcPr>
            <w:tcW w:w="1296" w:type="dxa"/>
            <w:shd w:val="clear" w:color="auto" w:fill="F2DBDB" w:themeFill="accent2" w:themeFillTint="33"/>
          </w:tcPr>
          <w:p w14:paraId="39B9E464" w14:textId="4C257B1A"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320</w:t>
            </w:r>
          </w:p>
        </w:tc>
      </w:tr>
      <w:tr w:rsidR="000641A9" w:rsidRPr="002D6F59" w14:paraId="2E0CD664" w14:textId="2B7B95B7" w:rsidTr="000641A9">
        <w:trPr>
          <w:jc w:val="center"/>
        </w:trPr>
        <w:tc>
          <w:tcPr>
            <w:tcW w:w="4653" w:type="dxa"/>
            <w:shd w:val="clear" w:color="auto" w:fill="F2DBDB" w:themeFill="accent2" w:themeFillTint="33"/>
          </w:tcPr>
          <w:p w14:paraId="16737E6D"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Cesar</w:t>
            </w:r>
          </w:p>
        </w:tc>
        <w:tc>
          <w:tcPr>
            <w:tcW w:w="1296" w:type="dxa"/>
            <w:shd w:val="clear" w:color="auto" w:fill="F2DBDB" w:themeFill="accent2" w:themeFillTint="33"/>
          </w:tcPr>
          <w:p w14:paraId="3F2B4899" w14:textId="767893A5"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560</w:t>
            </w:r>
          </w:p>
        </w:tc>
      </w:tr>
      <w:tr w:rsidR="000641A9" w:rsidRPr="002D6F59" w14:paraId="7B61EB03" w14:textId="7A8CFB7B" w:rsidTr="000641A9">
        <w:trPr>
          <w:jc w:val="center"/>
        </w:trPr>
        <w:tc>
          <w:tcPr>
            <w:tcW w:w="4653" w:type="dxa"/>
            <w:shd w:val="clear" w:color="auto" w:fill="F2DBDB" w:themeFill="accent2" w:themeFillTint="33"/>
          </w:tcPr>
          <w:p w14:paraId="3D897EAA"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Chocó</w:t>
            </w:r>
          </w:p>
        </w:tc>
        <w:tc>
          <w:tcPr>
            <w:tcW w:w="1296" w:type="dxa"/>
            <w:shd w:val="clear" w:color="auto" w:fill="F2DBDB" w:themeFill="accent2" w:themeFillTint="33"/>
          </w:tcPr>
          <w:p w14:paraId="0D989F17" w14:textId="13209301"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185</w:t>
            </w:r>
          </w:p>
        </w:tc>
      </w:tr>
      <w:tr w:rsidR="000641A9" w:rsidRPr="002D6F59" w14:paraId="5421929C" w14:textId="331BDD25" w:rsidTr="000641A9">
        <w:trPr>
          <w:jc w:val="center"/>
        </w:trPr>
        <w:tc>
          <w:tcPr>
            <w:tcW w:w="4653" w:type="dxa"/>
            <w:shd w:val="clear" w:color="auto" w:fill="F2DBDB" w:themeFill="accent2" w:themeFillTint="33"/>
          </w:tcPr>
          <w:p w14:paraId="7681CE3E"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Córdoba</w:t>
            </w:r>
          </w:p>
        </w:tc>
        <w:tc>
          <w:tcPr>
            <w:tcW w:w="1296" w:type="dxa"/>
            <w:shd w:val="clear" w:color="auto" w:fill="F2DBDB" w:themeFill="accent2" w:themeFillTint="33"/>
          </w:tcPr>
          <w:p w14:paraId="4EFF993A" w14:textId="7C597FC0"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591</w:t>
            </w:r>
          </w:p>
        </w:tc>
      </w:tr>
      <w:tr w:rsidR="000641A9" w:rsidRPr="002D6F59" w14:paraId="16962CF5" w14:textId="3EA6162B" w:rsidTr="000641A9">
        <w:trPr>
          <w:trHeight w:val="237"/>
          <w:jc w:val="center"/>
        </w:trPr>
        <w:tc>
          <w:tcPr>
            <w:tcW w:w="4653" w:type="dxa"/>
            <w:shd w:val="clear" w:color="auto" w:fill="FFFF00"/>
          </w:tcPr>
          <w:p w14:paraId="27024DF4" w14:textId="77777777" w:rsidR="000641A9" w:rsidRPr="002D6F59" w:rsidRDefault="000641A9"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Cundinamarca</w:t>
            </w:r>
          </w:p>
        </w:tc>
        <w:tc>
          <w:tcPr>
            <w:tcW w:w="1296" w:type="dxa"/>
            <w:shd w:val="clear" w:color="auto" w:fill="FFFF00"/>
          </w:tcPr>
          <w:p w14:paraId="04AD5022" w14:textId="6D6D99A1" w:rsidR="000641A9" w:rsidRPr="002D6F59" w:rsidRDefault="002A663E"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1.518</w:t>
            </w:r>
          </w:p>
        </w:tc>
      </w:tr>
      <w:tr w:rsidR="000641A9" w:rsidRPr="002D6F59" w14:paraId="1B24847F" w14:textId="07E7DA08" w:rsidTr="000641A9">
        <w:trPr>
          <w:trHeight w:val="140"/>
          <w:jc w:val="center"/>
        </w:trPr>
        <w:tc>
          <w:tcPr>
            <w:tcW w:w="4653" w:type="dxa"/>
            <w:shd w:val="clear" w:color="auto" w:fill="F2DBDB" w:themeFill="accent2" w:themeFillTint="33"/>
          </w:tcPr>
          <w:p w14:paraId="1A4763B6"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Guainía</w:t>
            </w:r>
          </w:p>
        </w:tc>
        <w:tc>
          <w:tcPr>
            <w:tcW w:w="1296" w:type="dxa"/>
            <w:shd w:val="clear" w:color="auto" w:fill="F2DBDB" w:themeFill="accent2" w:themeFillTint="33"/>
          </w:tcPr>
          <w:p w14:paraId="64A428CA" w14:textId="76719887"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61</w:t>
            </w:r>
          </w:p>
        </w:tc>
      </w:tr>
      <w:tr w:rsidR="000641A9" w:rsidRPr="002D6F59" w14:paraId="0C8A7D57" w14:textId="08BDBCF4" w:rsidTr="000641A9">
        <w:trPr>
          <w:trHeight w:val="168"/>
          <w:jc w:val="center"/>
        </w:trPr>
        <w:tc>
          <w:tcPr>
            <w:tcW w:w="4653" w:type="dxa"/>
            <w:shd w:val="clear" w:color="auto" w:fill="F2DBDB" w:themeFill="accent2" w:themeFillTint="33"/>
          </w:tcPr>
          <w:p w14:paraId="62FBBC80"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Guaviare</w:t>
            </w:r>
          </w:p>
        </w:tc>
        <w:tc>
          <w:tcPr>
            <w:tcW w:w="1296" w:type="dxa"/>
            <w:shd w:val="clear" w:color="auto" w:fill="F2DBDB" w:themeFill="accent2" w:themeFillTint="33"/>
          </w:tcPr>
          <w:p w14:paraId="7206A1DF" w14:textId="27D4BAE9"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58</w:t>
            </w:r>
          </w:p>
        </w:tc>
      </w:tr>
      <w:tr w:rsidR="000641A9" w:rsidRPr="002D6F59" w14:paraId="22063327" w14:textId="037CE1ED" w:rsidTr="000641A9">
        <w:trPr>
          <w:jc w:val="center"/>
        </w:trPr>
        <w:tc>
          <w:tcPr>
            <w:tcW w:w="4653" w:type="dxa"/>
            <w:shd w:val="clear" w:color="auto" w:fill="F2DBDB" w:themeFill="accent2" w:themeFillTint="33"/>
          </w:tcPr>
          <w:p w14:paraId="37F7349E"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Huila</w:t>
            </w:r>
          </w:p>
        </w:tc>
        <w:tc>
          <w:tcPr>
            <w:tcW w:w="1296" w:type="dxa"/>
            <w:shd w:val="clear" w:color="auto" w:fill="F2DBDB" w:themeFill="accent2" w:themeFillTint="33"/>
          </w:tcPr>
          <w:p w14:paraId="68F3E297" w14:textId="7AC4E459" w:rsidR="000641A9" w:rsidRPr="002D6F59" w:rsidRDefault="002A663E"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692</w:t>
            </w:r>
          </w:p>
        </w:tc>
      </w:tr>
      <w:tr w:rsidR="000641A9" w:rsidRPr="002D6F59" w14:paraId="41E6564C" w14:textId="6F489C1C" w:rsidTr="000641A9">
        <w:trPr>
          <w:trHeight w:val="335"/>
          <w:jc w:val="center"/>
        </w:trPr>
        <w:tc>
          <w:tcPr>
            <w:tcW w:w="4653" w:type="dxa"/>
            <w:shd w:val="clear" w:color="auto" w:fill="F2DBDB" w:themeFill="accent2" w:themeFillTint="33"/>
          </w:tcPr>
          <w:p w14:paraId="62E52958"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La Guajira</w:t>
            </w:r>
          </w:p>
        </w:tc>
        <w:tc>
          <w:tcPr>
            <w:tcW w:w="1296" w:type="dxa"/>
            <w:shd w:val="clear" w:color="auto" w:fill="F2DBDB" w:themeFill="accent2" w:themeFillTint="33"/>
          </w:tcPr>
          <w:p w14:paraId="4F99D588" w14:textId="1CEF27A4"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316</w:t>
            </w:r>
          </w:p>
        </w:tc>
      </w:tr>
      <w:tr w:rsidR="000641A9" w:rsidRPr="002D6F59" w14:paraId="674E9468" w14:textId="5BA1A9E1" w:rsidTr="000641A9">
        <w:trPr>
          <w:trHeight w:val="101"/>
          <w:jc w:val="center"/>
        </w:trPr>
        <w:tc>
          <w:tcPr>
            <w:tcW w:w="4653" w:type="dxa"/>
            <w:shd w:val="clear" w:color="auto" w:fill="F2DBDB" w:themeFill="accent2" w:themeFillTint="33"/>
          </w:tcPr>
          <w:p w14:paraId="3C896E43"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Magdalena</w:t>
            </w:r>
          </w:p>
        </w:tc>
        <w:tc>
          <w:tcPr>
            <w:tcW w:w="1296" w:type="dxa"/>
            <w:shd w:val="clear" w:color="auto" w:fill="F2DBDB" w:themeFill="accent2" w:themeFillTint="33"/>
          </w:tcPr>
          <w:p w14:paraId="63FF1705" w14:textId="0A68A9FA"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435</w:t>
            </w:r>
          </w:p>
        </w:tc>
      </w:tr>
      <w:tr w:rsidR="000641A9" w:rsidRPr="002D6F59" w14:paraId="226E1CD4" w14:textId="4C230570" w:rsidTr="000641A9">
        <w:trPr>
          <w:jc w:val="center"/>
        </w:trPr>
        <w:tc>
          <w:tcPr>
            <w:tcW w:w="4653" w:type="dxa"/>
            <w:shd w:val="clear" w:color="auto" w:fill="F2DBDB" w:themeFill="accent2" w:themeFillTint="33"/>
          </w:tcPr>
          <w:p w14:paraId="4CA0593C"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lastRenderedPageBreak/>
              <w:t>Meta</w:t>
            </w:r>
          </w:p>
        </w:tc>
        <w:tc>
          <w:tcPr>
            <w:tcW w:w="1296" w:type="dxa"/>
            <w:shd w:val="clear" w:color="auto" w:fill="F2DBDB" w:themeFill="accent2" w:themeFillTint="33"/>
          </w:tcPr>
          <w:p w14:paraId="769485BB" w14:textId="0C73D784"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802</w:t>
            </w:r>
          </w:p>
        </w:tc>
      </w:tr>
      <w:tr w:rsidR="000641A9" w:rsidRPr="002D6F59" w14:paraId="612DB64F" w14:textId="3ADB544A" w:rsidTr="000641A9">
        <w:trPr>
          <w:trHeight w:val="326"/>
          <w:jc w:val="center"/>
        </w:trPr>
        <w:tc>
          <w:tcPr>
            <w:tcW w:w="4653" w:type="dxa"/>
            <w:shd w:val="clear" w:color="auto" w:fill="F2DBDB" w:themeFill="accent2" w:themeFillTint="33"/>
          </w:tcPr>
          <w:p w14:paraId="7554BB7E"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Nariño</w:t>
            </w:r>
          </w:p>
        </w:tc>
        <w:tc>
          <w:tcPr>
            <w:tcW w:w="1296" w:type="dxa"/>
            <w:shd w:val="clear" w:color="auto" w:fill="F2DBDB" w:themeFill="accent2" w:themeFillTint="33"/>
          </w:tcPr>
          <w:p w14:paraId="0B3D7061" w14:textId="7F6779C8"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85</w:t>
            </w:r>
          </w:p>
        </w:tc>
      </w:tr>
      <w:tr w:rsidR="000641A9" w:rsidRPr="002D6F59" w14:paraId="47175222" w14:textId="4F0CF661" w:rsidTr="000641A9">
        <w:trPr>
          <w:jc w:val="center"/>
        </w:trPr>
        <w:tc>
          <w:tcPr>
            <w:tcW w:w="4653" w:type="dxa"/>
            <w:shd w:val="clear" w:color="auto" w:fill="F2DBDB" w:themeFill="accent2" w:themeFillTint="33"/>
          </w:tcPr>
          <w:p w14:paraId="31B7F02F"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Norte de Santander</w:t>
            </w:r>
          </w:p>
        </w:tc>
        <w:tc>
          <w:tcPr>
            <w:tcW w:w="1296" w:type="dxa"/>
            <w:shd w:val="clear" w:color="auto" w:fill="F2DBDB" w:themeFill="accent2" w:themeFillTint="33"/>
          </w:tcPr>
          <w:p w14:paraId="3F54C978" w14:textId="1A1B594C"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434</w:t>
            </w:r>
          </w:p>
        </w:tc>
      </w:tr>
      <w:tr w:rsidR="000641A9" w:rsidRPr="002D6F59" w14:paraId="23E7AF8A" w14:textId="32C1DF74" w:rsidTr="000641A9">
        <w:trPr>
          <w:jc w:val="center"/>
        </w:trPr>
        <w:tc>
          <w:tcPr>
            <w:tcW w:w="4653" w:type="dxa"/>
            <w:shd w:val="clear" w:color="auto" w:fill="F2DBDB" w:themeFill="accent2" w:themeFillTint="33"/>
          </w:tcPr>
          <w:p w14:paraId="64B6BF7C"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Putumayo</w:t>
            </w:r>
          </w:p>
        </w:tc>
        <w:tc>
          <w:tcPr>
            <w:tcW w:w="1296" w:type="dxa"/>
            <w:shd w:val="clear" w:color="auto" w:fill="F2DBDB" w:themeFill="accent2" w:themeFillTint="33"/>
          </w:tcPr>
          <w:p w14:paraId="52A63D55" w14:textId="3D078530"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224</w:t>
            </w:r>
          </w:p>
        </w:tc>
      </w:tr>
      <w:tr w:rsidR="000641A9" w:rsidRPr="002D6F59" w14:paraId="189DAA41" w14:textId="4E8BB7B3" w:rsidTr="000641A9">
        <w:trPr>
          <w:trHeight w:val="266"/>
          <w:jc w:val="center"/>
        </w:trPr>
        <w:tc>
          <w:tcPr>
            <w:tcW w:w="4653" w:type="dxa"/>
            <w:shd w:val="clear" w:color="auto" w:fill="F2DBDB" w:themeFill="accent2" w:themeFillTint="33"/>
          </w:tcPr>
          <w:p w14:paraId="0A45F97C" w14:textId="77777777" w:rsidR="000641A9" w:rsidRPr="002D6F59" w:rsidRDefault="000641A9" w:rsidP="00B17AB2">
            <w:pPr>
              <w:spacing w:line="276" w:lineRule="auto"/>
              <w:jc w:val="center"/>
              <w:rPr>
                <w:rFonts w:ascii="Century Gothic" w:hAnsi="Century Gothic" w:cs="Arial"/>
                <w:sz w:val="20"/>
                <w:szCs w:val="20"/>
                <w:lang w:val="es-CO" w:eastAsia="es-ES"/>
              </w:rPr>
            </w:pPr>
            <w:r w:rsidRPr="002D6F59">
              <w:rPr>
                <w:rFonts w:ascii="Century Gothic" w:hAnsi="Century Gothic" w:cs="Arial"/>
                <w:color w:val="404040"/>
                <w:sz w:val="20"/>
                <w:szCs w:val="20"/>
              </w:rPr>
              <w:t>Quindío</w:t>
            </w:r>
          </w:p>
        </w:tc>
        <w:tc>
          <w:tcPr>
            <w:tcW w:w="1296" w:type="dxa"/>
            <w:shd w:val="clear" w:color="auto" w:fill="F2DBDB" w:themeFill="accent2" w:themeFillTint="33"/>
          </w:tcPr>
          <w:p w14:paraId="6113355A" w14:textId="50700FB9"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400</w:t>
            </w:r>
          </w:p>
        </w:tc>
      </w:tr>
      <w:tr w:rsidR="000641A9" w:rsidRPr="002D6F59" w14:paraId="7FC0F657" w14:textId="38F2AA0B" w:rsidTr="000641A9">
        <w:trPr>
          <w:jc w:val="center"/>
        </w:trPr>
        <w:tc>
          <w:tcPr>
            <w:tcW w:w="4653" w:type="dxa"/>
            <w:shd w:val="clear" w:color="auto" w:fill="F2DBDB" w:themeFill="accent2" w:themeFillTint="33"/>
          </w:tcPr>
          <w:p w14:paraId="73993FD3"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Risaralda</w:t>
            </w:r>
          </w:p>
        </w:tc>
        <w:tc>
          <w:tcPr>
            <w:tcW w:w="1296" w:type="dxa"/>
            <w:shd w:val="clear" w:color="auto" w:fill="F2DBDB" w:themeFill="accent2" w:themeFillTint="33"/>
          </w:tcPr>
          <w:p w14:paraId="5072347F" w14:textId="452958EE"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679</w:t>
            </w:r>
          </w:p>
        </w:tc>
      </w:tr>
      <w:tr w:rsidR="000641A9" w:rsidRPr="002D6F59" w14:paraId="08455323" w14:textId="4854D76F" w:rsidTr="000641A9">
        <w:trPr>
          <w:jc w:val="center"/>
        </w:trPr>
        <w:tc>
          <w:tcPr>
            <w:tcW w:w="4653" w:type="dxa"/>
            <w:shd w:val="clear" w:color="auto" w:fill="F2DBDB" w:themeFill="accent2" w:themeFillTint="33"/>
          </w:tcPr>
          <w:p w14:paraId="28B77585"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Santander</w:t>
            </w:r>
          </w:p>
        </w:tc>
        <w:tc>
          <w:tcPr>
            <w:tcW w:w="1296" w:type="dxa"/>
            <w:shd w:val="clear" w:color="auto" w:fill="F2DBDB" w:themeFill="accent2" w:themeFillTint="33"/>
          </w:tcPr>
          <w:p w14:paraId="79D99B5B" w14:textId="5EF4971A"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1.131</w:t>
            </w:r>
          </w:p>
        </w:tc>
      </w:tr>
      <w:tr w:rsidR="000641A9" w:rsidRPr="002D6F59" w14:paraId="2B709642" w14:textId="2C29F0B0" w:rsidTr="000641A9">
        <w:trPr>
          <w:trHeight w:val="101"/>
          <w:jc w:val="center"/>
        </w:trPr>
        <w:tc>
          <w:tcPr>
            <w:tcW w:w="4653" w:type="dxa"/>
            <w:shd w:val="clear" w:color="auto" w:fill="F2DBDB" w:themeFill="accent2" w:themeFillTint="33"/>
          </w:tcPr>
          <w:p w14:paraId="66932387"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Sucre</w:t>
            </w:r>
          </w:p>
        </w:tc>
        <w:tc>
          <w:tcPr>
            <w:tcW w:w="1296" w:type="dxa"/>
            <w:shd w:val="clear" w:color="auto" w:fill="F2DBDB" w:themeFill="accent2" w:themeFillTint="33"/>
          </w:tcPr>
          <w:p w14:paraId="600368E0" w14:textId="78E11E6B"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406</w:t>
            </w:r>
          </w:p>
        </w:tc>
      </w:tr>
      <w:tr w:rsidR="000641A9" w:rsidRPr="002D6F59" w14:paraId="71785474" w14:textId="7DDB4A83" w:rsidTr="000641A9">
        <w:trPr>
          <w:trHeight w:val="127"/>
          <w:jc w:val="center"/>
        </w:trPr>
        <w:tc>
          <w:tcPr>
            <w:tcW w:w="4653" w:type="dxa"/>
            <w:shd w:val="clear" w:color="auto" w:fill="F2DBDB" w:themeFill="accent2" w:themeFillTint="33"/>
          </w:tcPr>
          <w:p w14:paraId="19413D8B"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Tolima</w:t>
            </w:r>
          </w:p>
        </w:tc>
        <w:tc>
          <w:tcPr>
            <w:tcW w:w="1296" w:type="dxa"/>
            <w:shd w:val="clear" w:color="auto" w:fill="F2DBDB" w:themeFill="accent2" w:themeFillTint="33"/>
          </w:tcPr>
          <w:p w14:paraId="60C68E6E" w14:textId="5B6A343C"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1.052</w:t>
            </w:r>
          </w:p>
        </w:tc>
      </w:tr>
      <w:tr w:rsidR="000641A9" w:rsidRPr="002D6F59" w14:paraId="60EEB436" w14:textId="3C530221" w:rsidTr="000641A9">
        <w:trPr>
          <w:jc w:val="center"/>
        </w:trPr>
        <w:tc>
          <w:tcPr>
            <w:tcW w:w="4653" w:type="dxa"/>
            <w:shd w:val="clear" w:color="auto" w:fill="FFFF00"/>
          </w:tcPr>
          <w:p w14:paraId="304CE359" w14:textId="77777777" w:rsidR="000641A9" w:rsidRPr="002D6F59" w:rsidRDefault="000641A9" w:rsidP="00B17AB2">
            <w:pPr>
              <w:spacing w:line="276" w:lineRule="auto"/>
              <w:jc w:val="center"/>
              <w:rPr>
                <w:rFonts w:ascii="Century Gothic" w:hAnsi="Century Gothic" w:cs="Arial"/>
                <w:b/>
                <w:color w:val="404040"/>
                <w:sz w:val="20"/>
                <w:szCs w:val="20"/>
                <w:highlight w:val="yellow"/>
              </w:rPr>
            </w:pPr>
            <w:r w:rsidRPr="002D6F59">
              <w:rPr>
                <w:rFonts w:ascii="Century Gothic" w:hAnsi="Century Gothic" w:cs="Arial"/>
                <w:b/>
                <w:color w:val="404040"/>
                <w:sz w:val="20"/>
                <w:szCs w:val="20"/>
                <w:highlight w:val="yellow"/>
              </w:rPr>
              <w:t>Valle del Cauca</w:t>
            </w:r>
          </w:p>
        </w:tc>
        <w:tc>
          <w:tcPr>
            <w:tcW w:w="1296" w:type="dxa"/>
            <w:shd w:val="clear" w:color="auto" w:fill="FFFF00"/>
          </w:tcPr>
          <w:p w14:paraId="5785829B" w14:textId="0641FCD4" w:rsidR="000641A9" w:rsidRPr="002D6F59" w:rsidRDefault="00914585" w:rsidP="00B17AB2">
            <w:pPr>
              <w:spacing w:line="276" w:lineRule="auto"/>
              <w:jc w:val="center"/>
              <w:rPr>
                <w:rFonts w:ascii="Century Gothic" w:hAnsi="Century Gothic" w:cs="Arial"/>
                <w:b/>
                <w:color w:val="404040"/>
                <w:sz w:val="20"/>
                <w:szCs w:val="20"/>
                <w:highlight w:val="yellow"/>
              </w:rPr>
            </w:pPr>
            <w:r>
              <w:rPr>
                <w:rFonts w:ascii="Century Gothic" w:hAnsi="Century Gothic" w:cs="Arial"/>
                <w:b/>
                <w:color w:val="404040"/>
                <w:sz w:val="20"/>
                <w:szCs w:val="20"/>
                <w:highlight w:val="yellow"/>
              </w:rPr>
              <w:t>1.873</w:t>
            </w:r>
          </w:p>
        </w:tc>
      </w:tr>
      <w:tr w:rsidR="000641A9" w:rsidRPr="002D6F59" w14:paraId="2C2C3796" w14:textId="37F04D40" w:rsidTr="000641A9">
        <w:trPr>
          <w:trHeight w:val="101"/>
          <w:jc w:val="center"/>
        </w:trPr>
        <w:tc>
          <w:tcPr>
            <w:tcW w:w="4653" w:type="dxa"/>
            <w:shd w:val="clear" w:color="auto" w:fill="F2DBDB" w:themeFill="accent2" w:themeFillTint="33"/>
          </w:tcPr>
          <w:p w14:paraId="40845D19"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Vaupés</w:t>
            </w:r>
          </w:p>
        </w:tc>
        <w:tc>
          <w:tcPr>
            <w:tcW w:w="1296" w:type="dxa"/>
            <w:shd w:val="clear" w:color="auto" w:fill="F2DBDB" w:themeFill="accent2" w:themeFillTint="33"/>
          </w:tcPr>
          <w:p w14:paraId="18D05B08" w14:textId="2C8D06AA"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0641A9" w:rsidRPr="002D6F59" w14:paraId="69E5A6C7" w14:textId="0C410006" w:rsidTr="000641A9">
        <w:trPr>
          <w:trHeight w:val="252"/>
          <w:jc w:val="center"/>
        </w:trPr>
        <w:tc>
          <w:tcPr>
            <w:tcW w:w="4653" w:type="dxa"/>
            <w:shd w:val="clear" w:color="auto" w:fill="F2DBDB" w:themeFill="accent2" w:themeFillTint="33"/>
          </w:tcPr>
          <w:p w14:paraId="375D4391"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Vichada</w:t>
            </w:r>
          </w:p>
        </w:tc>
        <w:tc>
          <w:tcPr>
            <w:tcW w:w="1296" w:type="dxa"/>
            <w:shd w:val="clear" w:color="auto" w:fill="F2DBDB" w:themeFill="accent2" w:themeFillTint="33"/>
          </w:tcPr>
          <w:p w14:paraId="34AAAFE9" w14:textId="394583B2"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6</w:t>
            </w:r>
          </w:p>
        </w:tc>
      </w:tr>
      <w:tr w:rsidR="000641A9" w:rsidRPr="002D6F59" w14:paraId="3F0FCA63" w14:textId="132B4D4C" w:rsidTr="000641A9">
        <w:trPr>
          <w:trHeight w:val="252"/>
          <w:jc w:val="center"/>
        </w:trPr>
        <w:tc>
          <w:tcPr>
            <w:tcW w:w="4653" w:type="dxa"/>
            <w:shd w:val="clear" w:color="auto" w:fill="F2DBDB" w:themeFill="accent2" w:themeFillTint="33"/>
          </w:tcPr>
          <w:p w14:paraId="2A3C006D" w14:textId="77777777" w:rsidR="000641A9" w:rsidRPr="002D6F59" w:rsidRDefault="000641A9"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 xml:space="preserve">Si información </w:t>
            </w:r>
          </w:p>
        </w:tc>
        <w:tc>
          <w:tcPr>
            <w:tcW w:w="1296" w:type="dxa"/>
            <w:shd w:val="clear" w:color="auto" w:fill="F2DBDB" w:themeFill="accent2" w:themeFillTint="33"/>
          </w:tcPr>
          <w:p w14:paraId="7F41134E" w14:textId="3ADA18A2" w:rsidR="000641A9" w:rsidRPr="002D6F59" w:rsidRDefault="0091458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5</w:t>
            </w:r>
          </w:p>
        </w:tc>
      </w:tr>
      <w:tr w:rsidR="000641A9" w:rsidRPr="002D6F59" w14:paraId="693D729F" w14:textId="7E8E8819" w:rsidTr="000641A9">
        <w:trPr>
          <w:trHeight w:val="252"/>
          <w:jc w:val="center"/>
        </w:trPr>
        <w:tc>
          <w:tcPr>
            <w:tcW w:w="4653" w:type="dxa"/>
            <w:shd w:val="clear" w:color="auto" w:fill="F2DBDB" w:themeFill="accent2" w:themeFillTint="33"/>
          </w:tcPr>
          <w:p w14:paraId="5BD3FF4C" w14:textId="77777777" w:rsidR="000641A9" w:rsidRPr="002D6F59" w:rsidRDefault="000641A9"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TOTAL</w:t>
            </w:r>
          </w:p>
        </w:tc>
        <w:tc>
          <w:tcPr>
            <w:tcW w:w="1296" w:type="dxa"/>
            <w:shd w:val="clear" w:color="auto" w:fill="F2DBDB" w:themeFill="accent2" w:themeFillTint="33"/>
          </w:tcPr>
          <w:p w14:paraId="3D083585" w14:textId="666A3AD1" w:rsidR="000641A9" w:rsidRPr="002D6F59" w:rsidRDefault="003C4E65"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22.211</w:t>
            </w:r>
          </w:p>
        </w:tc>
      </w:tr>
    </w:tbl>
    <w:p w14:paraId="684383FA" w14:textId="4441260B" w:rsidR="00E16086" w:rsidRPr="002D6F59" w:rsidRDefault="00E16086" w:rsidP="00B17AB2">
      <w:pPr>
        <w:spacing w:line="276" w:lineRule="auto"/>
        <w:jc w:val="center"/>
        <w:rPr>
          <w:rFonts w:ascii="Century Gothic" w:hAnsi="Century Gothic" w:cs="Arial"/>
          <w:color w:val="0000FF"/>
          <w:sz w:val="18"/>
          <w:szCs w:val="18"/>
          <w:u w:val="single"/>
        </w:rPr>
      </w:pPr>
      <w:r w:rsidRPr="002D6F59">
        <w:rPr>
          <w:rFonts w:ascii="Century Gothic" w:hAnsi="Century Gothic" w:cs="Arial"/>
          <w:sz w:val="18"/>
          <w:szCs w:val="18"/>
          <w:lang w:val="es-CO" w:eastAsia="es-ES"/>
        </w:rPr>
        <w:t xml:space="preserve">Fuente: </w:t>
      </w:r>
      <w:hyperlink r:id="rId9" w:history="1">
        <w:r w:rsidRPr="002D6F59">
          <w:rPr>
            <w:rStyle w:val="Hipervnculo"/>
            <w:rFonts w:ascii="Century Gothic" w:hAnsi="Century Gothic" w:cs="Arial"/>
            <w:sz w:val="18"/>
            <w:szCs w:val="18"/>
          </w:rPr>
          <w:t>http://www.medicinalegal.gov.co/observatorio-de-violencia</w:t>
        </w:r>
      </w:hyperlink>
    </w:p>
    <w:p w14:paraId="7ECF5312" w14:textId="77777777" w:rsidR="00B17AB2" w:rsidRPr="002D6F59" w:rsidRDefault="00B17AB2" w:rsidP="005627A0">
      <w:pPr>
        <w:jc w:val="both"/>
        <w:rPr>
          <w:rFonts w:ascii="Century Gothic" w:hAnsi="Century Gothic" w:cs="Arial"/>
        </w:rPr>
      </w:pPr>
    </w:p>
    <w:p w14:paraId="6812CAA3" w14:textId="1D127699" w:rsidR="009A4A7E" w:rsidRDefault="00E16086" w:rsidP="00CF2E25">
      <w:pPr>
        <w:spacing w:line="276" w:lineRule="auto"/>
        <w:jc w:val="both"/>
        <w:rPr>
          <w:rFonts w:ascii="Century Gothic" w:hAnsi="Century Gothic" w:cs="Arial"/>
          <w:lang w:val="es-CO" w:eastAsia="es-ES"/>
        </w:rPr>
      </w:pPr>
      <w:r w:rsidRPr="002D6F59">
        <w:rPr>
          <w:rFonts w:ascii="Century Gothic" w:hAnsi="Century Gothic" w:cs="Arial"/>
          <w:lang w:val="es-CO" w:eastAsia="es-ES"/>
        </w:rPr>
        <w:t xml:space="preserve">Ahora bien, en el mes de julio de 2019, el Ministerio de Salud y Protección Social, en alianza estratégica con 16 entidades, dio a conocer los resultados de la primera Encuesta de Violencia contra Niños, Niñas y Adolescentes (EVCNNA), </w:t>
      </w:r>
      <w:r w:rsidRPr="002D6F59">
        <w:rPr>
          <w:rFonts w:ascii="Century Gothic" w:hAnsi="Century Gothic" w:cs="Arial"/>
          <w:lang w:eastAsia="es-ES"/>
        </w:rPr>
        <w:t>elaborada</w:t>
      </w:r>
      <w:r w:rsidRPr="002D6F59">
        <w:rPr>
          <w:rFonts w:ascii="Century Gothic" w:hAnsi="Century Gothic" w:cs="Arial"/>
          <w:lang w:val="es-CO" w:eastAsia="es-ES"/>
        </w:rPr>
        <w:t xml:space="preserve"> por primera vez en Colombia, la cual arrojó resultados alarmantes:  </w:t>
      </w:r>
    </w:p>
    <w:p w14:paraId="685C983B" w14:textId="77777777" w:rsidR="004F5BE7" w:rsidRPr="002D6F59" w:rsidRDefault="004F5BE7" w:rsidP="00CF2E25">
      <w:pPr>
        <w:spacing w:line="276" w:lineRule="auto"/>
        <w:jc w:val="both"/>
        <w:rPr>
          <w:rFonts w:ascii="Century Gothic" w:hAnsi="Century Gothic" w:cs="Arial"/>
          <w:lang w:val="es-CO" w:eastAsia="es-ES"/>
        </w:rPr>
      </w:pPr>
    </w:p>
    <w:p w14:paraId="795CF342" w14:textId="609B6DBB" w:rsidR="00E16086" w:rsidRPr="002D6F59" w:rsidRDefault="00E16086" w:rsidP="00B17AB2">
      <w:pPr>
        <w:pStyle w:val="Prrafodelista"/>
        <w:numPr>
          <w:ilvl w:val="0"/>
          <w:numId w:val="35"/>
        </w:numPr>
        <w:spacing w:after="0"/>
        <w:jc w:val="both"/>
        <w:rPr>
          <w:rFonts w:ascii="Century Gothic" w:eastAsia="Times New Roman" w:hAnsi="Century Gothic" w:cs="Arial"/>
          <w:sz w:val="24"/>
          <w:szCs w:val="24"/>
          <w:lang w:eastAsia="es-ES"/>
        </w:rPr>
      </w:pPr>
      <w:r w:rsidRPr="002D6F59">
        <w:rPr>
          <w:rFonts w:ascii="Century Gothic" w:eastAsia="Times New Roman" w:hAnsi="Century Gothic" w:cs="Arial"/>
          <w:sz w:val="24"/>
          <w:szCs w:val="24"/>
          <w:lang w:eastAsia="es-ES"/>
        </w:rPr>
        <w:t xml:space="preserve">El 23.1% de los jóvenes encuestados de 18 a 24 años sufrieron violencia sexual antes de los 18 años, esto a nivel nacional, y la cifra es aún mayor en los municipios afectados por el conflicto, en los cuales el porcentaje es del 24.4%, siendo las mujeres las que reportan las mayores cifras, con una diferencia del 7.5% frente a los hombres (a nivel nacional): </w:t>
      </w:r>
    </w:p>
    <w:p w14:paraId="7DED3657" w14:textId="77777777" w:rsidR="00E16086" w:rsidRPr="002D6F59" w:rsidRDefault="00E16086" w:rsidP="005627A0">
      <w:pPr>
        <w:pStyle w:val="Prrafodelista"/>
        <w:spacing w:after="0" w:line="240" w:lineRule="auto"/>
        <w:ind w:left="0"/>
        <w:jc w:val="both"/>
        <w:rPr>
          <w:rFonts w:ascii="Century Gothic" w:hAnsi="Century Gothic" w:cs="Arial"/>
          <w:sz w:val="24"/>
          <w:szCs w:val="24"/>
        </w:rPr>
      </w:pPr>
    </w:p>
    <w:p w14:paraId="1A3A0BC7" w14:textId="292C9E60" w:rsidR="00E16086" w:rsidRDefault="00E16086" w:rsidP="005627A0">
      <w:pPr>
        <w:pStyle w:val="Prrafodelista"/>
        <w:ind w:left="0"/>
        <w:jc w:val="center"/>
        <w:rPr>
          <w:rFonts w:ascii="Century Gothic" w:hAnsi="Century Gothic" w:cs="Arial"/>
          <w:sz w:val="24"/>
          <w:szCs w:val="24"/>
        </w:rPr>
      </w:pPr>
      <w:r w:rsidRPr="002D6F59">
        <w:rPr>
          <w:rFonts w:ascii="Century Gothic" w:hAnsi="Century Gothic" w:cs="Arial"/>
          <w:noProof/>
          <w:sz w:val="24"/>
          <w:szCs w:val="24"/>
          <w:lang w:eastAsia="es-CO"/>
        </w:rPr>
        <w:drawing>
          <wp:inline distT="0" distB="0" distL="0" distR="0" wp14:anchorId="7EA6ACCF" wp14:editId="33D629A7">
            <wp:extent cx="4202172" cy="1364776"/>
            <wp:effectExtent l="0" t="0" r="1905" b="0"/>
            <wp:docPr id="1" name="Imagen 1" descr="../Desktop/Captura%20de%20pantalla%202019-08-11%20a%20la(s)%2013.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9-08-11%20a%20la(s)%2013.3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449" t="60574" r="24036" b="14546"/>
                    <a:stretch/>
                  </pic:blipFill>
                  <pic:spPr bwMode="auto">
                    <a:xfrm>
                      <a:off x="0" y="0"/>
                      <a:ext cx="4225172" cy="1372246"/>
                    </a:xfrm>
                    <a:prstGeom prst="rect">
                      <a:avLst/>
                    </a:prstGeom>
                    <a:noFill/>
                    <a:ln>
                      <a:noFill/>
                    </a:ln>
                    <a:extLst>
                      <a:ext uri="{53640926-AAD7-44D8-BBD7-CCE9431645EC}">
                        <a14:shadowObscured xmlns:a14="http://schemas.microsoft.com/office/drawing/2010/main"/>
                      </a:ext>
                    </a:extLst>
                  </pic:spPr>
                </pic:pic>
              </a:graphicData>
            </a:graphic>
          </wp:inline>
        </w:drawing>
      </w:r>
    </w:p>
    <w:p w14:paraId="2FC47FCC" w14:textId="77777777" w:rsidR="005627A0" w:rsidRPr="002D6F59" w:rsidRDefault="005627A0" w:rsidP="005627A0">
      <w:pPr>
        <w:pStyle w:val="Prrafodelista"/>
        <w:spacing w:line="240" w:lineRule="auto"/>
        <w:ind w:left="0"/>
        <w:jc w:val="center"/>
        <w:rPr>
          <w:rFonts w:ascii="Century Gothic" w:hAnsi="Century Gothic" w:cs="Arial"/>
          <w:sz w:val="24"/>
          <w:szCs w:val="24"/>
        </w:rPr>
      </w:pPr>
    </w:p>
    <w:p w14:paraId="0AE81258" w14:textId="77777777" w:rsidR="002D68BE" w:rsidRDefault="00E16086" w:rsidP="002D68BE">
      <w:pPr>
        <w:pStyle w:val="Prrafodelista"/>
        <w:numPr>
          <w:ilvl w:val="0"/>
          <w:numId w:val="35"/>
        </w:numPr>
        <w:spacing w:after="0"/>
        <w:jc w:val="both"/>
        <w:rPr>
          <w:rFonts w:ascii="Century Gothic" w:hAnsi="Century Gothic" w:cs="Arial"/>
          <w:sz w:val="24"/>
          <w:szCs w:val="24"/>
        </w:rPr>
      </w:pPr>
      <w:r w:rsidRPr="002D6F59">
        <w:rPr>
          <w:rFonts w:ascii="Century Gothic" w:hAnsi="Century Gothic" w:cs="Arial"/>
          <w:sz w:val="24"/>
          <w:szCs w:val="24"/>
        </w:rPr>
        <w:t>Si se analiza cada una de las formas de violencia sexual, se evidencia que, las mujeres tanto a nivel nacional como en los municipios priorizados, reportan los porcentajes más altos, con diferencias frente a los hombres de más del 50%:</w:t>
      </w:r>
    </w:p>
    <w:p w14:paraId="0A6A9B45" w14:textId="77777777" w:rsidR="00BC4959" w:rsidRDefault="00BC4959" w:rsidP="002A5EED">
      <w:pPr>
        <w:pStyle w:val="Prrafodelista"/>
        <w:spacing w:after="0"/>
        <w:jc w:val="center"/>
        <w:rPr>
          <w:rFonts w:ascii="Century Gothic" w:hAnsi="Century Gothic" w:cs="Arial"/>
          <w:b/>
        </w:rPr>
      </w:pPr>
    </w:p>
    <w:p w14:paraId="38509A81" w14:textId="18B59D92" w:rsidR="00352A5A" w:rsidRPr="002D68BE" w:rsidRDefault="00E16086" w:rsidP="002A5EED">
      <w:pPr>
        <w:pStyle w:val="Prrafodelista"/>
        <w:spacing w:after="0"/>
        <w:jc w:val="center"/>
        <w:rPr>
          <w:rFonts w:ascii="Century Gothic" w:hAnsi="Century Gothic" w:cs="Arial"/>
          <w:sz w:val="24"/>
          <w:szCs w:val="24"/>
        </w:rPr>
      </w:pPr>
      <w:r w:rsidRPr="002D68BE">
        <w:rPr>
          <w:rFonts w:ascii="Century Gothic" w:hAnsi="Century Gothic" w:cs="Arial"/>
          <w:b/>
        </w:rPr>
        <w:lastRenderedPageBreak/>
        <w:t>NACIONAL</w:t>
      </w:r>
    </w:p>
    <w:p w14:paraId="4C3DD2A1" w14:textId="77777777" w:rsidR="00E16086" w:rsidRPr="002D6F59"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522A5B56" wp14:editId="1F79913B">
            <wp:extent cx="4579620" cy="1090246"/>
            <wp:effectExtent l="0" t="0" r="0" b="2540"/>
            <wp:docPr id="4" name="Imagen 4" descr="../Desktop/Captura%20de%20pantalla%202019-08-11%20a%20la(s)%2013.4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9-08-11%20a%20la(s)%2013.46.0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862" t="58909" r="10204" b="16000"/>
                    <a:stretch/>
                  </pic:blipFill>
                  <pic:spPr bwMode="auto">
                    <a:xfrm>
                      <a:off x="0" y="0"/>
                      <a:ext cx="4652471" cy="1107589"/>
                    </a:xfrm>
                    <a:prstGeom prst="rect">
                      <a:avLst/>
                    </a:prstGeom>
                    <a:noFill/>
                    <a:ln>
                      <a:noFill/>
                    </a:ln>
                    <a:extLst>
                      <a:ext uri="{53640926-AAD7-44D8-BBD7-CCE9431645EC}">
                        <a14:shadowObscured xmlns:a14="http://schemas.microsoft.com/office/drawing/2010/main"/>
                      </a:ext>
                    </a:extLst>
                  </pic:spPr>
                </pic:pic>
              </a:graphicData>
            </a:graphic>
          </wp:inline>
        </w:drawing>
      </w:r>
    </w:p>
    <w:p w14:paraId="01E85E83" w14:textId="00919FBF" w:rsidR="00352A5A" w:rsidRPr="002D6F59" w:rsidRDefault="00352A5A" w:rsidP="00B17AB2">
      <w:pPr>
        <w:spacing w:line="276" w:lineRule="auto"/>
        <w:rPr>
          <w:rFonts w:ascii="Century Gothic" w:hAnsi="Century Gothic" w:cs="Arial"/>
          <w:b/>
        </w:rPr>
      </w:pPr>
    </w:p>
    <w:p w14:paraId="0BAF5BE6" w14:textId="6C10ABD0" w:rsidR="00E16086" w:rsidRPr="002D68BE" w:rsidRDefault="00E16086" w:rsidP="00B17AB2">
      <w:pPr>
        <w:spacing w:line="276" w:lineRule="auto"/>
        <w:jc w:val="center"/>
        <w:rPr>
          <w:rFonts w:ascii="Century Gothic" w:hAnsi="Century Gothic" w:cs="Arial"/>
          <w:b/>
          <w:sz w:val="22"/>
          <w:szCs w:val="22"/>
        </w:rPr>
      </w:pPr>
      <w:r w:rsidRPr="002D68BE">
        <w:rPr>
          <w:rFonts w:ascii="Century Gothic" w:hAnsi="Century Gothic" w:cs="Arial"/>
          <w:b/>
          <w:sz w:val="22"/>
          <w:szCs w:val="22"/>
        </w:rPr>
        <w:t>PRIORIZADOS</w:t>
      </w:r>
    </w:p>
    <w:p w14:paraId="034218A7" w14:textId="6A959664" w:rsidR="00E16086"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75E790C5" wp14:editId="1AE7B908">
            <wp:extent cx="4566749" cy="1207477"/>
            <wp:effectExtent l="0" t="0" r="0" b="0"/>
            <wp:docPr id="7" name="Imagen 7" descr="../Desktop/Captura%20de%20pantalla%202019-08-11%20a%20la(s)%2013.5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19-08-11%20a%20la(s)%2013.56.4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326" t="60364" r="10884" b="11636"/>
                    <a:stretch/>
                  </pic:blipFill>
                  <pic:spPr bwMode="auto">
                    <a:xfrm>
                      <a:off x="0" y="0"/>
                      <a:ext cx="4654828" cy="1230766"/>
                    </a:xfrm>
                    <a:prstGeom prst="rect">
                      <a:avLst/>
                    </a:prstGeom>
                    <a:noFill/>
                    <a:ln>
                      <a:noFill/>
                    </a:ln>
                    <a:extLst>
                      <a:ext uri="{53640926-AAD7-44D8-BBD7-CCE9431645EC}">
                        <a14:shadowObscured xmlns:a14="http://schemas.microsoft.com/office/drawing/2010/main"/>
                      </a:ext>
                    </a:extLst>
                  </pic:spPr>
                </pic:pic>
              </a:graphicData>
            </a:graphic>
          </wp:inline>
        </w:drawing>
      </w:r>
    </w:p>
    <w:p w14:paraId="07B75BD0" w14:textId="77777777" w:rsidR="005627A0" w:rsidRPr="002D6F59" w:rsidRDefault="005627A0" w:rsidP="005627A0">
      <w:pPr>
        <w:jc w:val="center"/>
        <w:rPr>
          <w:rFonts w:ascii="Century Gothic" w:hAnsi="Century Gothic" w:cs="Arial"/>
        </w:rPr>
      </w:pPr>
    </w:p>
    <w:p w14:paraId="52509A84" w14:textId="255868C1" w:rsidR="00E16086" w:rsidRPr="002D6F59" w:rsidRDefault="00E16086" w:rsidP="00B17AB2">
      <w:pPr>
        <w:pStyle w:val="Prrafodelista"/>
        <w:numPr>
          <w:ilvl w:val="0"/>
          <w:numId w:val="35"/>
        </w:numPr>
        <w:spacing w:after="0"/>
        <w:jc w:val="both"/>
        <w:rPr>
          <w:rFonts w:ascii="Century Gothic" w:hAnsi="Century Gothic" w:cs="Arial"/>
          <w:sz w:val="24"/>
          <w:szCs w:val="24"/>
        </w:rPr>
      </w:pPr>
      <w:r w:rsidRPr="002D6F59">
        <w:rPr>
          <w:rFonts w:ascii="Century Gothic" w:hAnsi="Century Gothic" w:cs="Arial"/>
          <w:sz w:val="24"/>
          <w:szCs w:val="24"/>
        </w:rPr>
        <w:t>En relación a los perpetradores más frecuentes en la experiencia del primer acto de violencia sexual contra las niñas y los niños antes de los 18 años, se observa que los miembros de la familia son los primeros responsables de estos actos reprochables:</w:t>
      </w:r>
    </w:p>
    <w:p w14:paraId="0A81C81F" w14:textId="77777777" w:rsidR="009A4A7E" w:rsidRPr="002D6F59" w:rsidRDefault="009A4A7E" w:rsidP="00B17AB2">
      <w:pPr>
        <w:pStyle w:val="Prrafodelista"/>
        <w:spacing w:after="0"/>
        <w:jc w:val="both"/>
        <w:rPr>
          <w:rFonts w:ascii="Century Gothic" w:hAnsi="Century Gothic" w:cs="Arial"/>
          <w:sz w:val="24"/>
          <w:szCs w:val="24"/>
        </w:rPr>
      </w:pPr>
    </w:p>
    <w:p w14:paraId="1D9FFD86" w14:textId="4C9934FA" w:rsidR="00251E2E" w:rsidRDefault="00E16086" w:rsidP="00094F1F">
      <w:pPr>
        <w:pStyle w:val="Prrafodelista"/>
        <w:ind w:left="0"/>
        <w:jc w:val="center"/>
        <w:rPr>
          <w:rFonts w:ascii="Century Gothic" w:hAnsi="Century Gothic" w:cs="Arial"/>
          <w:sz w:val="24"/>
          <w:szCs w:val="24"/>
        </w:rPr>
      </w:pPr>
      <w:r w:rsidRPr="002D6F59">
        <w:rPr>
          <w:rFonts w:ascii="Century Gothic" w:hAnsi="Century Gothic" w:cs="Arial"/>
          <w:noProof/>
          <w:sz w:val="24"/>
          <w:szCs w:val="24"/>
          <w:lang w:eastAsia="es-CO"/>
        </w:rPr>
        <w:drawing>
          <wp:inline distT="0" distB="0" distL="0" distR="0" wp14:anchorId="3D7E4626" wp14:editId="6A60392F">
            <wp:extent cx="2855547" cy="867410"/>
            <wp:effectExtent l="0" t="0" r="2540" b="0"/>
            <wp:docPr id="8" name="Imagen 8" descr="../Desktop/Captura%20de%20pantalla%202019-08-11%20a%20la(s)%2014.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19-08-11%20a%20la(s)%2014.02.1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52" t="42166" r="29930" b="32844"/>
                    <a:stretch/>
                  </pic:blipFill>
                  <pic:spPr bwMode="auto">
                    <a:xfrm>
                      <a:off x="0" y="0"/>
                      <a:ext cx="2945779" cy="894819"/>
                    </a:xfrm>
                    <a:prstGeom prst="rect">
                      <a:avLst/>
                    </a:prstGeom>
                    <a:noFill/>
                    <a:ln>
                      <a:noFill/>
                    </a:ln>
                    <a:extLst>
                      <a:ext uri="{53640926-AAD7-44D8-BBD7-CCE9431645EC}">
                        <a14:shadowObscured xmlns:a14="http://schemas.microsoft.com/office/drawing/2010/main"/>
                      </a:ext>
                    </a:extLst>
                  </pic:spPr>
                </pic:pic>
              </a:graphicData>
            </a:graphic>
          </wp:inline>
        </w:drawing>
      </w:r>
    </w:p>
    <w:p w14:paraId="2C923ACE" w14:textId="77777777" w:rsidR="00FC4C33" w:rsidRDefault="00FC4C33" w:rsidP="00FC4C33">
      <w:pPr>
        <w:pStyle w:val="Prrafodelista"/>
        <w:spacing w:after="0" w:line="240" w:lineRule="auto"/>
        <w:ind w:left="0"/>
        <w:jc w:val="center"/>
        <w:rPr>
          <w:rFonts w:ascii="Century Gothic" w:hAnsi="Century Gothic" w:cs="Arial"/>
          <w:sz w:val="24"/>
          <w:szCs w:val="24"/>
        </w:rPr>
      </w:pPr>
    </w:p>
    <w:p w14:paraId="01292D11" w14:textId="77777777" w:rsidR="00E16086" w:rsidRPr="00FC4C33" w:rsidRDefault="00E16086" w:rsidP="00FC4C33">
      <w:pPr>
        <w:pStyle w:val="Prrafodelista"/>
        <w:numPr>
          <w:ilvl w:val="0"/>
          <w:numId w:val="35"/>
        </w:numPr>
        <w:jc w:val="both"/>
        <w:rPr>
          <w:rFonts w:ascii="Century Gothic" w:hAnsi="Century Gothic" w:cs="Arial"/>
          <w:sz w:val="24"/>
          <w:szCs w:val="24"/>
        </w:rPr>
      </w:pPr>
      <w:r w:rsidRPr="00FC4C33">
        <w:rPr>
          <w:rFonts w:ascii="Century Gothic" w:hAnsi="Century Gothic" w:cs="Arial"/>
          <w:sz w:val="24"/>
          <w:szCs w:val="24"/>
        </w:rPr>
        <w:t>Respecto al lugar de ocurrencia del primer incidente de violencia sexual antes de los 18 años, se evidencia que las viviendas son el lugar más frecuente donde se llevan a cabo estos actos:</w:t>
      </w:r>
    </w:p>
    <w:p w14:paraId="23B2A76A" w14:textId="77777777" w:rsidR="00E16086" w:rsidRPr="002D6F59" w:rsidRDefault="00E16086" w:rsidP="005627A0">
      <w:pPr>
        <w:rPr>
          <w:rFonts w:ascii="Century Gothic" w:hAnsi="Century Gothic" w:cs="Arial"/>
        </w:rPr>
      </w:pPr>
    </w:p>
    <w:p w14:paraId="17CD56DE" w14:textId="77777777" w:rsidR="00E16086" w:rsidRPr="002D6F59" w:rsidRDefault="00E16086" w:rsidP="00B17AB2">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6E0C1877" wp14:editId="3C2DD45E">
            <wp:extent cx="5164150" cy="1160060"/>
            <wp:effectExtent l="0" t="0" r="0" b="0"/>
            <wp:docPr id="9" name="Imagen 9" descr="../Desktop/Captura%20de%20pantalla%202019-08-11%20a%20la(s)%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9-08-11%20a%20la(s)%2014.05.2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152" t="34909" r="26757" b="30880"/>
                    <a:stretch/>
                  </pic:blipFill>
                  <pic:spPr bwMode="auto">
                    <a:xfrm>
                      <a:off x="0" y="0"/>
                      <a:ext cx="5276438" cy="1185284"/>
                    </a:xfrm>
                    <a:prstGeom prst="rect">
                      <a:avLst/>
                    </a:prstGeom>
                    <a:noFill/>
                    <a:ln>
                      <a:noFill/>
                    </a:ln>
                    <a:extLst>
                      <a:ext uri="{53640926-AAD7-44D8-BBD7-CCE9431645EC}">
                        <a14:shadowObscured xmlns:a14="http://schemas.microsoft.com/office/drawing/2010/main"/>
                      </a:ext>
                    </a:extLst>
                  </pic:spPr>
                </pic:pic>
              </a:graphicData>
            </a:graphic>
          </wp:inline>
        </w:drawing>
      </w:r>
    </w:p>
    <w:p w14:paraId="243A4F9E" w14:textId="338330D8" w:rsidR="00490359" w:rsidRDefault="00E16086" w:rsidP="00456BA8">
      <w:pPr>
        <w:spacing w:line="276" w:lineRule="auto"/>
        <w:jc w:val="center"/>
        <w:rPr>
          <w:rFonts w:ascii="Century Gothic" w:hAnsi="Century Gothic" w:cs="Arial"/>
        </w:rPr>
      </w:pPr>
      <w:r w:rsidRPr="002D6F59">
        <w:rPr>
          <w:rFonts w:ascii="Century Gothic" w:hAnsi="Century Gothic" w:cs="Arial"/>
          <w:noProof/>
          <w:lang w:val="es-CO" w:eastAsia="es-CO"/>
        </w:rPr>
        <w:drawing>
          <wp:inline distT="0" distB="0" distL="0" distR="0" wp14:anchorId="41AAC099" wp14:editId="7C12C4C4">
            <wp:extent cx="5129530" cy="533400"/>
            <wp:effectExtent l="0" t="0" r="1270" b="0"/>
            <wp:docPr id="10" name="Imagen 10" descr="../Desktop/Captura%20de%20pantalla%202019-08-11%20a%20la(s)%2014.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9-08-11%20a%20la(s)%2014.05.2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152" t="76754" r="26757" b="12728"/>
                    <a:stretch/>
                  </pic:blipFill>
                  <pic:spPr bwMode="auto">
                    <a:xfrm>
                      <a:off x="0" y="0"/>
                      <a:ext cx="5173239" cy="537945"/>
                    </a:xfrm>
                    <a:prstGeom prst="rect">
                      <a:avLst/>
                    </a:prstGeom>
                    <a:noFill/>
                    <a:ln>
                      <a:noFill/>
                    </a:ln>
                    <a:extLst>
                      <a:ext uri="{53640926-AAD7-44D8-BBD7-CCE9431645EC}">
                        <a14:shadowObscured xmlns:a14="http://schemas.microsoft.com/office/drawing/2010/main"/>
                      </a:ext>
                    </a:extLst>
                  </pic:spPr>
                </pic:pic>
              </a:graphicData>
            </a:graphic>
          </wp:inline>
        </w:drawing>
      </w:r>
    </w:p>
    <w:p w14:paraId="659E0F20" w14:textId="3DD17336" w:rsidR="00490359" w:rsidRDefault="00BC121A" w:rsidP="00731D1D">
      <w:pPr>
        <w:spacing w:line="276" w:lineRule="auto"/>
        <w:jc w:val="both"/>
        <w:rPr>
          <w:rFonts w:ascii="Century Gothic" w:hAnsi="Century Gothic" w:cs="Arial"/>
          <w:bCs/>
          <w:lang w:val="es-ES"/>
        </w:rPr>
      </w:pPr>
      <w:r w:rsidRPr="002D6F59">
        <w:rPr>
          <w:rFonts w:ascii="Century Gothic" w:hAnsi="Century Gothic" w:cs="Arial"/>
          <w:bCs/>
          <w:lang w:val="es-ES"/>
        </w:rPr>
        <w:lastRenderedPageBreak/>
        <w:t xml:space="preserve">A </w:t>
      </w:r>
      <w:r w:rsidR="00251E2E" w:rsidRPr="002D6F59">
        <w:rPr>
          <w:rFonts w:ascii="Century Gothic" w:hAnsi="Century Gothic" w:cs="Arial"/>
          <w:bCs/>
          <w:lang w:val="es-ES"/>
        </w:rPr>
        <w:t>continuación,</w:t>
      </w:r>
      <w:r w:rsidRPr="002D6F59">
        <w:rPr>
          <w:rFonts w:ascii="Century Gothic" w:hAnsi="Century Gothic" w:cs="Arial"/>
          <w:bCs/>
          <w:lang w:val="es-ES"/>
        </w:rPr>
        <w:t xml:space="preserve"> se presentan las cifras de personas privadas de la libertad en calidad de condenadas y sindicadas por delitos que pueden estar relacionados con violencia sexual contra menores en establecimientos de reclusión a cargo del Instituto Nacional Pen</w:t>
      </w:r>
      <w:r w:rsidR="00B17AB2" w:rsidRPr="002D6F59">
        <w:rPr>
          <w:rFonts w:ascii="Century Gothic" w:hAnsi="Century Gothic" w:cs="Arial"/>
          <w:bCs/>
          <w:lang w:val="es-ES"/>
        </w:rPr>
        <w:t>itenciario y Carcelario – INPEC:</w:t>
      </w:r>
    </w:p>
    <w:p w14:paraId="273DB84F" w14:textId="77777777" w:rsidR="00361507" w:rsidRPr="00731D1D" w:rsidRDefault="00361507" w:rsidP="00731D1D">
      <w:pPr>
        <w:spacing w:line="276" w:lineRule="auto"/>
        <w:jc w:val="both"/>
        <w:rPr>
          <w:rFonts w:ascii="Century Gothic" w:hAnsi="Century Gothic" w:cs="Arial"/>
        </w:rPr>
      </w:pPr>
    </w:p>
    <w:tbl>
      <w:tblPr>
        <w:tblW w:w="9634" w:type="dxa"/>
        <w:jc w:val="center"/>
        <w:tblLayout w:type="fixed"/>
        <w:tblCellMar>
          <w:left w:w="70" w:type="dxa"/>
          <w:right w:w="70" w:type="dxa"/>
        </w:tblCellMar>
        <w:tblLook w:val="04A0" w:firstRow="1" w:lastRow="0" w:firstColumn="1" w:lastColumn="0" w:noHBand="0" w:noVBand="1"/>
      </w:tblPr>
      <w:tblGrid>
        <w:gridCol w:w="2423"/>
        <w:gridCol w:w="974"/>
        <w:gridCol w:w="851"/>
        <w:gridCol w:w="992"/>
        <w:gridCol w:w="851"/>
        <w:gridCol w:w="708"/>
        <w:gridCol w:w="851"/>
        <w:gridCol w:w="992"/>
        <w:gridCol w:w="992"/>
      </w:tblGrid>
      <w:tr w:rsidR="00887542" w:rsidRPr="002D6F59" w14:paraId="7DC71D13" w14:textId="77777777" w:rsidTr="00A05413">
        <w:trPr>
          <w:trHeight w:val="523"/>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F4483FD"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Modalidad Delictiva</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28850DB"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Hombre Cond.</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292DA7D"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Mujer Cond.</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06D4F436"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Cond.</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A96667"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Hombre Sind.</w:t>
            </w:r>
          </w:p>
        </w:tc>
        <w:tc>
          <w:tcPr>
            <w:tcW w:w="708"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7CA4C65"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Mujer Sindi.</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16E18367"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Sind.</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47ACF8C"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Intram.</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679127D"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Particip.  %</w:t>
            </w:r>
          </w:p>
        </w:tc>
      </w:tr>
      <w:tr w:rsidR="00887542" w:rsidRPr="002D6F59" w14:paraId="6B84ACB4" w14:textId="77777777" w:rsidTr="00304742">
        <w:trPr>
          <w:trHeight w:val="484"/>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B34FAC" w14:textId="77777777" w:rsidR="00BC121A" w:rsidRPr="00094F1F" w:rsidRDefault="00BC121A" w:rsidP="00490359">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Actos sexuales con menor de catorce años</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C04575F" w14:textId="083CF111"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w:t>
            </w:r>
            <w:r w:rsidR="00BB13AC" w:rsidRPr="00731D1D">
              <w:rPr>
                <w:rFonts w:ascii="Century Gothic" w:hAnsi="Century Gothic" w:cs="Arial"/>
                <w:sz w:val="20"/>
                <w:szCs w:val="20"/>
                <w:lang w:val="es-CO"/>
              </w:rPr>
              <w:t>335</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3D98A1D7" w14:textId="2415465E" w:rsidR="00BC121A" w:rsidRPr="00731D1D" w:rsidRDefault="00BB13AC"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61</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3859624" w14:textId="3863A4E6"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w:t>
            </w:r>
            <w:r w:rsidR="00BB13AC" w:rsidRPr="00731D1D">
              <w:rPr>
                <w:rFonts w:ascii="Century Gothic" w:hAnsi="Century Gothic" w:cs="Arial"/>
                <w:sz w:val="20"/>
                <w:szCs w:val="20"/>
                <w:lang w:val="es-CO"/>
              </w:rPr>
              <w:t>396</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6DD9F2B" w14:textId="4FD3A285"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BB13AC" w:rsidRPr="00731D1D">
              <w:rPr>
                <w:rFonts w:ascii="Century Gothic" w:hAnsi="Century Gothic" w:cs="Arial"/>
                <w:sz w:val="20"/>
                <w:szCs w:val="20"/>
                <w:lang w:val="es-CO"/>
              </w:rPr>
              <w:t>898</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0F302863" w14:textId="1C72B596"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BB13AC" w:rsidRPr="00731D1D">
              <w:rPr>
                <w:rFonts w:ascii="Century Gothic" w:hAnsi="Century Gothic" w:cs="Arial"/>
                <w:sz w:val="20"/>
                <w:szCs w:val="20"/>
                <w:lang w:val="es-CO"/>
              </w:rPr>
              <w:t>3</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58A29CB" w14:textId="47067445"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2.9</w:t>
            </w:r>
            <w:r w:rsidR="00BB13AC">
              <w:rPr>
                <w:rFonts w:ascii="Century Gothic" w:hAnsi="Century Gothic" w:cs="Arial"/>
                <w:sz w:val="20"/>
                <w:szCs w:val="20"/>
                <w:lang w:val="es-CO"/>
              </w:rPr>
              <w:t>21</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607223B1" w14:textId="2937B6EB"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8.</w:t>
            </w:r>
            <w:r w:rsidR="00BB13AC">
              <w:rPr>
                <w:rFonts w:ascii="Century Gothic" w:hAnsi="Century Gothic" w:cs="Arial"/>
                <w:sz w:val="20"/>
                <w:szCs w:val="20"/>
                <w:lang w:val="es-CO"/>
              </w:rPr>
              <w:t>317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5D01A11" w14:textId="6310C01C"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4,</w:t>
            </w:r>
            <w:r w:rsidR="00BB13AC">
              <w:rPr>
                <w:rFonts w:ascii="Century Gothic" w:hAnsi="Century Gothic" w:cs="Arial"/>
                <w:sz w:val="20"/>
                <w:szCs w:val="20"/>
                <w:lang w:val="es-CO"/>
              </w:rPr>
              <w:t>3</w:t>
            </w:r>
            <w:r w:rsidRPr="00094F1F">
              <w:rPr>
                <w:rFonts w:ascii="Century Gothic" w:hAnsi="Century Gothic" w:cs="Arial"/>
                <w:sz w:val="20"/>
                <w:szCs w:val="20"/>
                <w:lang w:val="es-CO"/>
              </w:rPr>
              <w:t xml:space="preserve"> %</w:t>
            </w:r>
          </w:p>
        </w:tc>
      </w:tr>
      <w:tr w:rsidR="00887542" w:rsidRPr="002D6F59" w14:paraId="21BD7263" w14:textId="77777777" w:rsidTr="00304742">
        <w:trPr>
          <w:trHeight w:val="484"/>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BE26DE0" w14:textId="77777777" w:rsidR="00BC121A" w:rsidRPr="00094F1F" w:rsidRDefault="00BC121A" w:rsidP="00490359">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Acceso carnal abusivo con menor de catorce años</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89E0737" w14:textId="26D49B23"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4.</w:t>
            </w:r>
            <w:r w:rsidR="00BB13AC" w:rsidRPr="00731D1D">
              <w:rPr>
                <w:rFonts w:ascii="Century Gothic" w:hAnsi="Century Gothic" w:cs="Arial"/>
                <w:sz w:val="20"/>
                <w:szCs w:val="20"/>
                <w:lang w:val="es-CO"/>
              </w:rPr>
              <w:t>521</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01877E7C" w14:textId="3768325B"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r w:rsidR="00BB13AC" w:rsidRPr="00731D1D">
              <w:rPr>
                <w:rFonts w:ascii="Century Gothic" w:hAnsi="Century Gothic" w:cs="Arial"/>
                <w:sz w:val="20"/>
                <w:szCs w:val="20"/>
                <w:lang w:val="es-CO"/>
              </w:rPr>
              <w:t>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60C02AF" w14:textId="68D0DD6F"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4.</w:t>
            </w:r>
            <w:r w:rsidR="00BB13AC" w:rsidRPr="00731D1D">
              <w:rPr>
                <w:rFonts w:ascii="Century Gothic" w:hAnsi="Century Gothic" w:cs="Arial"/>
                <w:sz w:val="20"/>
                <w:szCs w:val="20"/>
                <w:lang w:val="es-CO"/>
              </w:rPr>
              <w:t>558</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5CFD0C9" w14:textId="042CA892"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BB13AC" w:rsidRPr="00731D1D">
              <w:rPr>
                <w:rFonts w:ascii="Century Gothic" w:hAnsi="Century Gothic" w:cs="Arial"/>
                <w:sz w:val="20"/>
                <w:szCs w:val="20"/>
                <w:lang w:val="es-CO"/>
              </w:rPr>
              <w:t>200</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208992D4" w14:textId="63FF22E0" w:rsidR="00BC121A" w:rsidRPr="00731D1D" w:rsidRDefault="00BB13AC"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26</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8D28064" w14:textId="6DBB6003"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BB13AC">
              <w:rPr>
                <w:rFonts w:ascii="Century Gothic" w:hAnsi="Century Gothic" w:cs="Arial"/>
                <w:sz w:val="20"/>
                <w:szCs w:val="20"/>
                <w:lang w:val="es-CO"/>
              </w:rPr>
              <w:t>226</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1E947112" w14:textId="2FE348F6"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6.</w:t>
            </w:r>
            <w:r w:rsidR="00BB13AC">
              <w:rPr>
                <w:rFonts w:ascii="Century Gothic" w:hAnsi="Century Gothic" w:cs="Arial"/>
                <w:sz w:val="20"/>
                <w:szCs w:val="20"/>
                <w:lang w:val="es-CO"/>
              </w:rPr>
              <w:t>784</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FC272DE" w14:textId="49637A04"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3,</w:t>
            </w:r>
            <w:r w:rsidR="00BB13AC">
              <w:rPr>
                <w:rFonts w:ascii="Century Gothic" w:hAnsi="Century Gothic" w:cs="Arial"/>
                <w:sz w:val="20"/>
                <w:szCs w:val="20"/>
                <w:lang w:val="es-CO"/>
              </w:rPr>
              <w:t xml:space="preserve">5 </w:t>
            </w:r>
            <w:r w:rsidRPr="00094F1F">
              <w:rPr>
                <w:rFonts w:ascii="Century Gothic" w:hAnsi="Century Gothic" w:cs="Arial"/>
                <w:sz w:val="20"/>
                <w:szCs w:val="20"/>
                <w:lang w:val="es-CO"/>
              </w:rPr>
              <w:t>%</w:t>
            </w:r>
          </w:p>
        </w:tc>
      </w:tr>
      <w:tr w:rsidR="00887542" w:rsidRPr="002D6F59" w14:paraId="6632562A" w14:textId="77777777" w:rsidTr="00304742">
        <w:trPr>
          <w:trHeight w:val="711"/>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BD9FB3B"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Demanda de explotación sexual comercial de persona menor de 18 años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487FA45" w14:textId="6806351B" w:rsidR="00BC121A" w:rsidRPr="00731D1D" w:rsidRDefault="001566F9" w:rsidP="001566F9">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109</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1F992261" w14:textId="7777777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0C899B6" w14:textId="5A829F1C"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1566F9" w:rsidRPr="00731D1D">
              <w:rPr>
                <w:rFonts w:ascii="Century Gothic" w:hAnsi="Century Gothic" w:cs="Arial"/>
                <w:sz w:val="20"/>
                <w:szCs w:val="20"/>
                <w:lang w:val="es-CO"/>
              </w:rPr>
              <w:t>12</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3ABDB6FB" w14:textId="3D3F044D"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1566F9" w:rsidRPr="00731D1D">
              <w:rPr>
                <w:rFonts w:ascii="Century Gothic" w:hAnsi="Century Gothic" w:cs="Arial"/>
                <w:sz w:val="20"/>
                <w:szCs w:val="20"/>
                <w:lang w:val="es-CO"/>
              </w:rPr>
              <w:t>35</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1B218930" w14:textId="27707788" w:rsidR="00BC121A" w:rsidRPr="00731D1D" w:rsidRDefault="001566F9"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098AD48" w14:textId="2CFC2198"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13</w:t>
            </w:r>
            <w:r w:rsidR="001566F9">
              <w:rPr>
                <w:rFonts w:ascii="Century Gothic" w:hAnsi="Century Gothic" w:cs="Arial"/>
                <w:sz w:val="20"/>
                <w:szCs w:val="20"/>
                <w:lang w:val="es-CO"/>
              </w:rPr>
              <w:t>8</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2C3CA1DD" w14:textId="70ED9A13"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1566F9">
              <w:rPr>
                <w:rFonts w:ascii="Century Gothic" w:hAnsi="Century Gothic" w:cs="Arial"/>
                <w:sz w:val="20"/>
                <w:szCs w:val="20"/>
                <w:lang w:val="es-CO"/>
              </w:rPr>
              <w:t>50</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D1A54C2"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0,1 %</w:t>
            </w:r>
          </w:p>
        </w:tc>
      </w:tr>
      <w:tr w:rsidR="00887542" w:rsidRPr="002D6F59" w14:paraId="4E07E7EA" w14:textId="77777777" w:rsidTr="00304742">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420723C"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Pornografía con menores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BCB2DA1" w14:textId="698D905B"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731D1D" w:rsidRPr="00731D1D">
              <w:rPr>
                <w:rFonts w:ascii="Century Gothic" w:hAnsi="Century Gothic" w:cs="Arial"/>
                <w:sz w:val="20"/>
                <w:szCs w:val="20"/>
                <w:lang w:val="es-CO"/>
              </w:rPr>
              <w:t>39</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1CA25E6B" w14:textId="372AB40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731D1D" w:rsidRPr="00731D1D">
              <w:rPr>
                <w:rFonts w:ascii="Century Gothic" w:hAnsi="Century Gothic" w:cs="Arial"/>
                <w:sz w:val="20"/>
                <w:szCs w:val="20"/>
                <w:lang w:val="es-CO"/>
              </w:rPr>
              <w:t>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C0CFC0D" w14:textId="7734606F"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r w:rsidR="00731D1D" w:rsidRPr="00731D1D">
              <w:rPr>
                <w:rFonts w:ascii="Century Gothic" w:hAnsi="Century Gothic" w:cs="Arial"/>
                <w:sz w:val="20"/>
                <w:szCs w:val="20"/>
                <w:lang w:val="es-CO"/>
              </w:rPr>
              <w:t>56</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392E35A5" w14:textId="0144693F"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83</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3CCCDA40" w14:textId="12D6052B"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9DDA4E4" w14:textId="165EB831"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88</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670B77EC" w14:textId="27F2B514"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731D1D">
              <w:rPr>
                <w:rFonts w:ascii="Century Gothic" w:hAnsi="Century Gothic" w:cs="Arial"/>
                <w:sz w:val="20"/>
                <w:szCs w:val="20"/>
                <w:lang w:val="es-CO"/>
              </w:rPr>
              <w:t>44</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E04824F"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0,1 %</w:t>
            </w:r>
          </w:p>
        </w:tc>
      </w:tr>
      <w:tr w:rsidR="00887542" w:rsidRPr="002D6F59" w14:paraId="7406F0A0" w14:textId="77777777" w:rsidTr="00304742">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058E655" w14:textId="65C15BDE" w:rsidR="00BC121A" w:rsidRPr="00094F1F" w:rsidRDefault="00094F1F"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Proxenetismo</w:t>
            </w:r>
            <w:r w:rsidR="00BC121A" w:rsidRPr="00094F1F">
              <w:rPr>
                <w:rFonts w:ascii="Century Gothic" w:hAnsi="Century Gothic" w:cs="Arial"/>
                <w:sz w:val="20"/>
                <w:szCs w:val="20"/>
                <w:lang w:val="es-CO"/>
              </w:rPr>
              <w:t xml:space="preserve"> con menor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D891B0E" w14:textId="40A4464F" w:rsidR="00BC121A" w:rsidRPr="00731D1D" w:rsidRDefault="00622581"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27</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FDFA932" w14:textId="5DCBBDDC"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r w:rsidR="00622581" w:rsidRPr="00731D1D">
              <w:rPr>
                <w:rFonts w:ascii="Century Gothic" w:hAnsi="Century Gothic" w:cs="Arial"/>
                <w:sz w:val="20"/>
                <w:szCs w:val="20"/>
                <w:lang w:val="es-CO"/>
              </w:rPr>
              <w:t>1</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26ADD73" w14:textId="26064170" w:rsidR="00BC121A" w:rsidRPr="00731D1D" w:rsidRDefault="00622581"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58</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78BE4909" w14:textId="7777777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27</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3704CA51" w14:textId="77777777"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21</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4DD25C91"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48</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1A360A09" w14:textId="4E592372"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10</w:t>
            </w:r>
            <w:r w:rsidR="00622581">
              <w:rPr>
                <w:rFonts w:ascii="Century Gothic" w:hAnsi="Century Gothic" w:cs="Arial"/>
                <w:sz w:val="20"/>
                <w:szCs w:val="20"/>
                <w:lang w:val="es-CO"/>
              </w:rPr>
              <w:t>6</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262BA934"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0,1 %</w:t>
            </w:r>
          </w:p>
        </w:tc>
      </w:tr>
      <w:tr w:rsidR="00887542" w:rsidRPr="002D6F59" w14:paraId="61F63646" w14:textId="77777777" w:rsidTr="00304742">
        <w:trPr>
          <w:trHeight w:val="567"/>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94A27EE"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Utilización o facilitación de medios de comunicación para ofrecer actividades sexuales con personas menores de 18 años</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CEAAE67" w14:textId="1CA6BA2A"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731D1D" w:rsidRPr="00731D1D">
              <w:rPr>
                <w:rFonts w:ascii="Century Gothic" w:hAnsi="Century Gothic" w:cs="Arial"/>
                <w:sz w:val="20"/>
                <w:szCs w:val="20"/>
                <w:lang w:val="es-CO"/>
              </w:rPr>
              <w:t>5</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12317033" w14:textId="21AC4F10"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DAA12A5" w14:textId="46B5CFBC"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2</w:t>
            </w:r>
            <w:r w:rsidR="00731D1D" w:rsidRPr="00731D1D">
              <w:rPr>
                <w:rFonts w:ascii="Century Gothic" w:hAnsi="Century Gothic" w:cs="Arial"/>
                <w:sz w:val="20"/>
                <w:szCs w:val="20"/>
                <w:lang w:val="es-CO"/>
              </w:rPr>
              <w:t>6</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509A0DAC" w14:textId="3DAC79B1" w:rsidR="00BC121A" w:rsidRPr="00731D1D" w:rsidRDefault="00BC121A"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3</w:t>
            </w:r>
            <w:r w:rsidR="00731D1D" w:rsidRPr="00731D1D">
              <w:rPr>
                <w:rFonts w:ascii="Century Gothic" w:hAnsi="Century Gothic" w:cs="Arial"/>
                <w:sz w:val="20"/>
                <w:szCs w:val="20"/>
                <w:lang w:val="es-CO"/>
              </w:rPr>
              <w:t>0</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410B4F22" w14:textId="58888173" w:rsidR="00BC121A" w:rsidRPr="00731D1D" w:rsidRDefault="00731D1D" w:rsidP="00B17AB2">
            <w:pPr>
              <w:spacing w:line="276" w:lineRule="auto"/>
              <w:jc w:val="center"/>
              <w:rPr>
                <w:rFonts w:ascii="Century Gothic" w:hAnsi="Century Gothic" w:cs="Arial"/>
                <w:sz w:val="20"/>
                <w:szCs w:val="20"/>
                <w:lang w:val="es-CO"/>
              </w:rPr>
            </w:pPr>
            <w:r w:rsidRPr="00731D1D">
              <w:rPr>
                <w:rFonts w:ascii="Century Gothic" w:hAnsi="Century Gothic" w:cs="Arial"/>
                <w:sz w:val="20"/>
                <w:szCs w:val="20"/>
                <w:lang w:val="es-CO"/>
              </w:rPr>
              <w:t>1</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9E7A869" w14:textId="75DC8618"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3</w:t>
            </w:r>
            <w:r w:rsidR="00731D1D">
              <w:rPr>
                <w:rFonts w:ascii="Century Gothic" w:hAnsi="Century Gothic" w:cs="Arial"/>
                <w:sz w:val="20"/>
                <w:szCs w:val="20"/>
                <w:lang w:val="es-CO"/>
              </w:rPr>
              <w:t>1</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7734B4E9" w14:textId="73CE9C20"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57</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C0D36A5"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0,0 %</w:t>
            </w:r>
          </w:p>
        </w:tc>
      </w:tr>
      <w:tr w:rsidR="00887542" w:rsidRPr="002D6F59" w14:paraId="75F3BA70" w14:textId="77777777" w:rsidTr="00304742">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D8D0F92"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Estímulo a la prostitución de menores de edad</w:t>
            </w:r>
          </w:p>
        </w:tc>
        <w:tc>
          <w:tcPr>
            <w:tcW w:w="97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79B1C58" w14:textId="0E87915B"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19</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449B40AC" w14:textId="0C52F528"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6</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30CE51F" w14:textId="7021870D"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2</w:t>
            </w:r>
            <w:r w:rsidR="00731D1D">
              <w:rPr>
                <w:rFonts w:ascii="Century Gothic" w:hAnsi="Century Gothic" w:cs="Arial"/>
                <w:sz w:val="20"/>
                <w:szCs w:val="20"/>
                <w:lang w:val="es-CO"/>
              </w:rPr>
              <w:t>5</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14:paraId="70BE998B"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9</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5B156E0B" w14:textId="2966176B" w:rsidR="00BC121A" w:rsidRPr="00094F1F" w:rsidRDefault="00731D1D" w:rsidP="00B17AB2">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02B8246" w14:textId="44EB3C98"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1</w:t>
            </w:r>
            <w:r w:rsidR="00731D1D">
              <w:rPr>
                <w:rFonts w:ascii="Century Gothic" w:hAnsi="Century Gothic" w:cs="Arial"/>
                <w:sz w:val="20"/>
                <w:szCs w:val="20"/>
                <w:lang w:val="es-CO"/>
              </w:rPr>
              <w:t>0</w:t>
            </w:r>
          </w:p>
        </w:tc>
        <w:tc>
          <w:tcPr>
            <w:tcW w:w="992" w:type="dxa"/>
            <w:tcBorders>
              <w:top w:val="nil"/>
              <w:left w:val="nil"/>
              <w:bottom w:val="single" w:sz="4" w:space="0" w:color="auto"/>
              <w:right w:val="single" w:sz="4" w:space="0" w:color="auto"/>
            </w:tcBorders>
            <w:shd w:val="clear" w:color="auto" w:fill="F2DBDB" w:themeFill="accent2" w:themeFillTint="33"/>
            <w:vAlign w:val="center"/>
            <w:hideMark/>
          </w:tcPr>
          <w:p w14:paraId="00318EF3" w14:textId="4D60448F"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3</w:t>
            </w:r>
            <w:r w:rsidR="00731D1D">
              <w:rPr>
                <w:rFonts w:ascii="Century Gothic" w:hAnsi="Century Gothic" w:cs="Arial"/>
                <w:sz w:val="20"/>
                <w:szCs w:val="20"/>
                <w:lang w:val="es-CO"/>
              </w:rPr>
              <w:t>5</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845B9C0" w14:textId="77777777" w:rsidR="00BC121A" w:rsidRPr="00094F1F" w:rsidRDefault="00BC121A" w:rsidP="00B17AB2">
            <w:pPr>
              <w:spacing w:line="276" w:lineRule="auto"/>
              <w:jc w:val="center"/>
              <w:rPr>
                <w:rFonts w:ascii="Century Gothic" w:hAnsi="Century Gothic" w:cs="Arial"/>
                <w:sz w:val="20"/>
                <w:szCs w:val="20"/>
                <w:lang w:val="es-CO"/>
              </w:rPr>
            </w:pPr>
            <w:r w:rsidRPr="00094F1F">
              <w:rPr>
                <w:rFonts w:ascii="Century Gothic" w:hAnsi="Century Gothic" w:cs="Arial"/>
                <w:sz w:val="20"/>
                <w:szCs w:val="20"/>
                <w:lang w:val="es-CO"/>
              </w:rPr>
              <w:t>0,0 %</w:t>
            </w:r>
          </w:p>
        </w:tc>
      </w:tr>
      <w:tr w:rsidR="00887542" w:rsidRPr="002D6F59" w14:paraId="1A3E6AEA" w14:textId="77777777" w:rsidTr="00A05413">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244520B"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delitos seleccionados</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0C21D3" w14:textId="532505C9" w:rsidR="00BC121A" w:rsidRPr="00094F1F" w:rsidRDefault="00827671"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10.175</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167A6D7A" w14:textId="47C6AE6D" w:rsidR="00BC121A" w:rsidRPr="00094F1F" w:rsidRDefault="00827671"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156</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1C6A248" w14:textId="0F4731DE" w:rsidR="00BC121A" w:rsidRPr="00094F1F" w:rsidRDefault="00827671"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10.331</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6C4C9080" w14:textId="1E08A0EE"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5.382</w:t>
            </w:r>
          </w:p>
        </w:tc>
        <w:tc>
          <w:tcPr>
            <w:tcW w:w="708" w:type="dxa"/>
            <w:tcBorders>
              <w:top w:val="nil"/>
              <w:left w:val="nil"/>
              <w:bottom w:val="single" w:sz="4" w:space="0" w:color="auto"/>
              <w:right w:val="single" w:sz="4" w:space="0" w:color="auto"/>
            </w:tcBorders>
            <w:shd w:val="clear" w:color="auto" w:fill="E5B8B7" w:themeFill="accent2" w:themeFillTint="66"/>
            <w:vAlign w:val="center"/>
            <w:hideMark/>
          </w:tcPr>
          <w:p w14:paraId="50507184" w14:textId="002AC730"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80</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91FA7E6" w14:textId="168610EE"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5.462</w:t>
            </w:r>
          </w:p>
        </w:tc>
        <w:tc>
          <w:tcPr>
            <w:tcW w:w="992" w:type="dxa"/>
            <w:tcBorders>
              <w:top w:val="nil"/>
              <w:left w:val="nil"/>
              <w:bottom w:val="single" w:sz="4" w:space="0" w:color="auto"/>
              <w:right w:val="single" w:sz="4" w:space="0" w:color="auto"/>
            </w:tcBorders>
            <w:shd w:val="clear" w:color="auto" w:fill="E5B8B7" w:themeFill="accent2" w:themeFillTint="66"/>
            <w:vAlign w:val="center"/>
            <w:hideMark/>
          </w:tcPr>
          <w:p w14:paraId="0E78FF52" w14:textId="193D15E3" w:rsidR="00BC121A" w:rsidRPr="00094F1F" w:rsidRDefault="000D039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15.793</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2E79B52" w14:textId="16BEB0F7" w:rsidR="00BC121A" w:rsidRPr="00094F1F" w:rsidRDefault="00887542"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8</w:t>
            </w:r>
            <w:r w:rsidR="000D0394">
              <w:rPr>
                <w:rFonts w:ascii="Century Gothic" w:hAnsi="Century Gothic" w:cs="Arial"/>
                <w:b/>
                <w:bCs/>
                <w:sz w:val="20"/>
                <w:szCs w:val="20"/>
                <w:lang w:val="es-CO"/>
              </w:rPr>
              <w:t>.1</w:t>
            </w:r>
            <w:r w:rsidR="00BC121A" w:rsidRPr="00094F1F">
              <w:rPr>
                <w:rFonts w:ascii="Century Gothic" w:hAnsi="Century Gothic" w:cs="Arial"/>
                <w:b/>
                <w:bCs/>
                <w:sz w:val="20"/>
                <w:szCs w:val="20"/>
                <w:lang w:val="es-CO"/>
              </w:rPr>
              <w:t>%</w:t>
            </w:r>
          </w:p>
        </w:tc>
      </w:tr>
      <w:tr w:rsidR="00887542" w:rsidRPr="002D6F59" w14:paraId="47FE523D" w14:textId="77777777" w:rsidTr="00A05413">
        <w:trPr>
          <w:trHeight w:val="460"/>
          <w:jc w:val="center"/>
        </w:trPr>
        <w:tc>
          <w:tcPr>
            <w:tcW w:w="242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798497B"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Total delitos</w:t>
            </w:r>
          </w:p>
        </w:tc>
        <w:tc>
          <w:tcPr>
            <w:tcW w:w="97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5847CF8B" w14:textId="7C1E79FC"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w:t>
            </w:r>
            <w:r w:rsidR="00162764">
              <w:rPr>
                <w:rFonts w:ascii="Century Gothic" w:hAnsi="Century Gothic" w:cs="Arial"/>
                <w:b/>
                <w:bCs/>
                <w:sz w:val="20"/>
                <w:szCs w:val="20"/>
                <w:lang w:val="es-CO"/>
              </w:rPr>
              <w:t>24.485</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55F1FBDC" w14:textId="523D243C"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8.5</w:t>
            </w:r>
            <w:r w:rsidR="00162764">
              <w:rPr>
                <w:rFonts w:ascii="Century Gothic" w:hAnsi="Century Gothic" w:cs="Arial"/>
                <w:b/>
                <w:bCs/>
                <w:sz w:val="20"/>
                <w:szCs w:val="20"/>
                <w:lang w:val="es-CO"/>
              </w:rPr>
              <w:t>83</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F580422" w14:textId="195B36F8"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w:t>
            </w:r>
            <w:r w:rsidR="00162764">
              <w:rPr>
                <w:rFonts w:ascii="Century Gothic" w:hAnsi="Century Gothic" w:cs="Arial"/>
                <w:b/>
                <w:bCs/>
                <w:sz w:val="20"/>
                <w:szCs w:val="20"/>
                <w:lang w:val="es-CO"/>
              </w:rPr>
              <w:t>33.068</w:t>
            </w:r>
          </w:p>
        </w:tc>
        <w:tc>
          <w:tcPr>
            <w:tcW w:w="851" w:type="dxa"/>
            <w:tcBorders>
              <w:top w:val="nil"/>
              <w:left w:val="nil"/>
              <w:bottom w:val="single" w:sz="4" w:space="0" w:color="auto"/>
              <w:right w:val="single" w:sz="4" w:space="0" w:color="auto"/>
            </w:tcBorders>
            <w:shd w:val="clear" w:color="auto" w:fill="E5B8B7" w:themeFill="accent2" w:themeFillTint="66"/>
            <w:vAlign w:val="center"/>
            <w:hideMark/>
          </w:tcPr>
          <w:p w14:paraId="2EA364B2" w14:textId="7FE4C975" w:rsidR="00BC121A" w:rsidRPr="00094F1F" w:rsidRDefault="0016276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56.544</w:t>
            </w:r>
          </w:p>
        </w:tc>
        <w:tc>
          <w:tcPr>
            <w:tcW w:w="708" w:type="dxa"/>
            <w:tcBorders>
              <w:top w:val="nil"/>
              <w:left w:val="nil"/>
              <w:bottom w:val="single" w:sz="4" w:space="0" w:color="auto"/>
              <w:right w:val="single" w:sz="4" w:space="0" w:color="auto"/>
            </w:tcBorders>
            <w:shd w:val="clear" w:color="auto" w:fill="E5B8B7" w:themeFill="accent2" w:themeFillTint="66"/>
            <w:vAlign w:val="center"/>
            <w:hideMark/>
          </w:tcPr>
          <w:p w14:paraId="4D5ABA0F" w14:textId="6A129600" w:rsidR="00BC121A" w:rsidRPr="00094F1F" w:rsidRDefault="0016276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4.815</w:t>
            </w:r>
          </w:p>
        </w:tc>
        <w:tc>
          <w:tcPr>
            <w:tcW w:w="851"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CA0B089" w14:textId="64373361"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6</w:t>
            </w:r>
            <w:r w:rsidR="00162764">
              <w:rPr>
                <w:rFonts w:ascii="Century Gothic" w:hAnsi="Century Gothic" w:cs="Arial"/>
                <w:b/>
                <w:bCs/>
                <w:sz w:val="20"/>
                <w:szCs w:val="20"/>
                <w:lang w:val="es-CO"/>
              </w:rPr>
              <w:t>1.359</w:t>
            </w:r>
          </w:p>
        </w:tc>
        <w:tc>
          <w:tcPr>
            <w:tcW w:w="992" w:type="dxa"/>
            <w:tcBorders>
              <w:top w:val="nil"/>
              <w:left w:val="nil"/>
              <w:bottom w:val="single" w:sz="4" w:space="0" w:color="auto"/>
              <w:right w:val="single" w:sz="4" w:space="0" w:color="auto"/>
            </w:tcBorders>
            <w:shd w:val="clear" w:color="auto" w:fill="E5B8B7" w:themeFill="accent2" w:themeFillTint="66"/>
            <w:vAlign w:val="center"/>
            <w:hideMark/>
          </w:tcPr>
          <w:p w14:paraId="2BA13E81" w14:textId="593E9E1C"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194.</w:t>
            </w:r>
            <w:r w:rsidR="00162764">
              <w:rPr>
                <w:rFonts w:ascii="Century Gothic" w:hAnsi="Century Gothic" w:cs="Arial"/>
                <w:b/>
                <w:bCs/>
                <w:sz w:val="20"/>
                <w:szCs w:val="20"/>
                <w:lang w:val="es-CO"/>
              </w:rPr>
              <w:t>427</w:t>
            </w:r>
          </w:p>
        </w:tc>
        <w:tc>
          <w:tcPr>
            <w:tcW w:w="99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63E7A052" w14:textId="77777777" w:rsidR="00BC121A" w:rsidRPr="00094F1F" w:rsidRDefault="00BC121A" w:rsidP="00B17AB2">
            <w:pPr>
              <w:spacing w:line="276" w:lineRule="auto"/>
              <w:jc w:val="center"/>
              <w:rPr>
                <w:rFonts w:ascii="Century Gothic" w:hAnsi="Century Gothic" w:cs="Arial"/>
                <w:b/>
                <w:bCs/>
                <w:sz w:val="20"/>
                <w:szCs w:val="20"/>
                <w:lang w:val="es-CO"/>
              </w:rPr>
            </w:pPr>
            <w:r w:rsidRPr="00094F1F">
              <w:rPr>
                <w:rFonts w:ascii="Century Gothic" w:hAnsi="Century Gothic" w:cs="Arial"/>
                <w:b/>
                <w:bCs/>
                <w:sz w:val="20"/>
                <w:szCs w:val="20"/>
                <w:lang w:val="es-CO"/>
              </w:rPr>
              <w:t>100 %</w:t>
            </w:r>
          </w:p>
        </w:tc>
      </w:tr>
    </w:tbl>
    <w:p w14:paraId="214C070D" w14:textId="5FA39A62" w:rsidR="00162764" w:rsidRDefault="00BC121A" w:rsidP="00162764">
      <w:pPr>
        <w:spacing w:line="276" w:lineRule="auto"/>
        <w:jc w:val="center"/>
        <w:rPr>
          <w:rFonts w:ascii="Century Gothic" w:hAnsi="Century Gothic" w:cs="Arial"/>
          <w:sz w:val="18"/>
          <w:szCs w:val="18"/>
          <w:lang w:val="es-ES"/>
        </w:rPr>
      </w:pPr>
      <w:r w:rsidRPr="002D6F59">
        <w:rPr>
          <w:rFonts w:ascii="Century Gothic" w:hAnsi="Century Gothic" w:cs="Arial"/>
          <w:sz w:val="18"/>
          <w:szCs w:val="18"/>
          <w:lang w:val="es-ES"/>
        </w:rPr>
        <w:t>Fuente: Tableros estadísticos - INPEC. Fecha: 1</w:t>
      </w:r>
      <w:r w:rsidR="00F76424">
        <w:rPr>
          <w:rFonts w:ascii="Century Gothic" w:hAnsi="Century Gothic" w:cs="Arial"/>
          <w:sz w:val="18"/>
          <w:szCs w:val="18"/>
          <w:lang w:val="es-ES"/>
        </w:rPr>
        <w:t>9</w:t>
      </w:r>
      <w:r w:rsidRPr="002D6F59">
        <w:rPr>
          <w:rFonts w:ascii="Century Gothic" w:hAnsi="Century Gothic" w:cs="Arial"/>
          <w:sz w:val="18"/>
          <w:szCs w:val="18"/>
          <w:lang w:val="es-ES"/>
        </w:rPr>
        <w:t xml:space="preserve"> de </w:t>
      </w:r>
      <w:r w:rsidR="00F76424">
        <w:rPr>
          <w:rFonts w:ascii="Century Gothic" w:hAnsi="Century Gothic" w:cs="Arial"/>
          <w:sz w:val="18"/>
          <w:szCs w:val="18"/>
          <w:lang w:val="es-ES"/>
        </w:rPr>
        <w:t>marzo</w:t>
      </w:r>
      <w:r w:rsidRPr="002D6F59">
        <w:rPr>
          <w:rFonts w:ascii="Century Gothic" w:hAnsi="Century Gothic" w:cs="Arial"/>
          <w:sz w:val="18"/>
          <w:szCs w:val="18"/>
          <w:lang w:val="es-ES"/>
        </w:rPr>
        <w:t xml:space="preserve"> 20</w:t>
      </w:r>
      <w:r w:rsidR="00F76424">
        <w:rPr>
          <w:rFonts w:ascii="Century Gothic" w:hAnsi="Century Gothic" w:cs="Arial"/>
          <w:sz w:val="18"/>
          <w:szCs w:val="18"/>
          <w:lang w:val="es-ES"/>
        </w:rPr>
        <w:t>20.</w:t>
      </w:r>
    </w:p>
    <w:p w14:paraId="7B38D859" w14:textId="77777777" w:rsidR="00827671" w:rsidRPr="005627A0" w:rsidRDefault="00827671" w:rsidP="005627A0">
      <w:pPr>
        <w:spacing w:line="276" w:lineRule="auto"/>
        <w:jc w:val="both"/>
        <w:rPr>
          <w:rFonts w:ascii="Century Gothic" w:hAnsi="Century Gothic" w:cs="Arial"/>
          <w:sz w:val="18"/>
          <w:szCs w:val="18"/>
          <w:lang w:val="es-ES"/>
        </w:rPr>
      </w:pPr>
    </w:p>
    <w:p w14:paraId="1D437019" w14:textId="7EA5470F" w:rsidR="00BC121A" w:rsidRPr="001873B4" w:rsidRDefault="00BC121A" w:rsidP="001873B4">
      <w:pPr>
        <w:spacing w:line="276" w:lineRule="auto"/>
        <w:jc w:val="both"/>
        <w:rPr>
          <w:rFonts w:ascii="Century Gothic" w:hAnsi="Century Gothic" w:cs="Arial"/>
          <w:lang w:val="es-ES"/>
        </w:rPr>
      </w:pPr>
      <w:r w:rsidRPr="002D6F59">
        <w:rPr>
          <w:rFonts w:ascii="Century Gothic" w:hAnsi="Century Gothic" w:cs="Arial"/>
          <w:lang w:val="es-ES"/>
        </w:rPr>
        <w:t>En relación con el número de noticia</w:t>
      </w:r>
      <w:r w:rsidR="00887542" w:rsidRPr="002D6F59">
        <w:rPr>
          <w:rFonts w:ascii="Century Gothic" w:hAnsi="Century Gothic" w:cs="Arial"/>
          <w:lang w:val="es-ES"/>
        </w:rPr>
        <w:t xml:space="preserve">s criminales de los delitos </w:t>
      </w:r>
      <w:r w:rsidRPr="002D6F59">
        <w:rPr>
          <w:rFonts w:ascii="Century Gothic" w:hAnsi="Century Gothic" w:cs="Arial"/>
          <w:lang w:val="es-ES"/>
        </w:rPr>
        <w:t>relacionados con violencia sexual contra menores, se evidencia que en los últimos cinco años se ha pres</w:t>
      </w:r>
      <w:r w:rsidR="00E448FB">
        <w:rPr>
          <w:rFonts w:ascii="Century Gothic" w:hAnsi="Century Gothic" w:cs="Arial"/>
          <w:lang w:val="es-ES"/>
        </w:rPr>
        <w:t>entado una tendencia en aumento</w:t>
      </w:r>
      <w:r w:rsidR="00D96449">
        <w:rPr>
          <w:rFonts w:ascii="Century Gothic" w:hAnsi="Century Gothic" w:cs="Arial"/>
          <w:lang w:val="es-ES"/>
        </w:rPr>
        <w:t>:</w:t>
      </w:r>
      <w:r w:rsidRPr="002D6F59">
        <w:rPr>
          <w:rFonts w:ascii="Century Gothic" w:hAnsi="Century Gothic" w:cs="Arial"/>
          <w:lang w:val="es-ES"/>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5"/>
        <w:gridCol w:w="818"/>
        <w:gridCol w:w="875"/>
        <w:gridCol w:w="875"/>
        <w:gridCol w:w="875"/>
        <w:gridCol w:w="804"/>
        <w:gridCol w:w="881"/>
      </w:tblGrid>
      <w:tr w:rsidR="00352885" w:rsidRPr="002D6F59" w14:paraId="739F4EDD" w14:textId="623B90FD" w:rsidTr="00304742">
        <w:trPr>
          <w:trHeight w:val="351"/>
          <w:tblHeader/>
          <w:jc w:val="center"/>
        </w:trPr>
        <w:tc>
          <w:tcPr>
            <w:tcW w:w="4365" w:type="dxa"/>
            <w:vMerge w:val="restart"/>
            <w:shd w:val="clear" w:color="auto" w:fill="B8CCE4" w:themeFill="accent1" w:themeFillTint="66"/>
            <w:noWrap/>
            <w:vAlign w:val="center"/>
            <w:hideMark/>
          </w:tcPr>
          <w:p w14:paraId="3F303C1C" w14:textId="77777777" w:rsidR="00352885" w:rsidRPr="00DD0B04" w:rsidRDefault="00352885" w:rsidP="00B17AB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lastRenderedPageBreak/>
              <w:t>Delito</w:t>
            </w:r>
          </w:p>
        </w:tc>
        <w:tc>
          <w:tcPr>
            <w:tcW w:w="5128" w:type="dxa"/>
            <w:gridSpan w:val="6"/>
            <w:shd w:val="clear" w:color="auto" w:fill="B8CCE4" w:themeFill="accent1" w:themeFillTint="66"/>
            <w:vAlign w:val="center"/>
          </w:tcPr>
          <w:p w14:paraId="2236317F" w14:textId="1BEF1CFD" w:rsidR="00352885" w:rsidRDefault="00352885" w:rsidP="00B17AB2">
            <w:pPr>
              <w:spacing w:line="276" w:lineRule="auto"/>
              <w:jc w:val="center"/>
              <w:rPr>
                <w:rFonts w:ascii="Century Gothic" w:hAnsi="Century Gothic" w:cs="Arial"/>
                <w:b/>
                <w:bCs/>
                <w:sz w:val="20"/>
                <w:szCs w:val="20"/>
              </w:rPr>
            </w:pPr>
            <w:r>
              <w:rPr>
                <w:rFonts w:ascii="Century Gothic" w:hAnsi="Century Gothic" w:cs="Arial"/>
                <w:b/>
                <w:bCs/>
                <w:sz w:val="20"/>
                <w:szCs w:val="20"/>
              </w:rPr>
              <w:t xml:space="preserve">Cantidad </w:t>
            </w:r>
            <w:r w:rsidRPr="00DD0B04">
              <w:rPr>
                <w:rFonts w:ascii="Century Gothic" w:hAnsi="Century Gothic" w:cs="Arial"/>
                <w:b/>
                <w:bCs/>
                <w:sz w:val="20"/>
                <w:szCs w:val="20"/>
              </w:rPr>
              <w:t>Noticias Criminales Nacional</w:t>
            </w:r>
            <w:r>
              <w:rPr>
                <w:rFonts w:ascii="Century Gothic" w:hAnsi="Century Gothic" w:cs="Arial"/>
                <w:b/>
                <w:bCs/>
                <w:sz w:val="20"/>
                <w:szCs w:val="20"/>
              </w:rPr>
              <w:t xml:space="preserve"> por año de ingreso</w:t>
            </w:r>
          </w:p>
        </w:tc>
      </w:tr>
      <w:tr w:rsidR="00352885" w:rsidRPr="002D6F59" w14:paraId="55FD2769" w14:textId="1415AB15" w:rsidTr="00304742">
        <w:trPr>
          <w:trHeight w:val="90"/>
          <w:tblHeader/>
          <w:jc w:val="center"/>
        </w:trPr>
        <w:tc>
          <w:tcPr>
            <w:tcW w:w="4365" w:type="dxa"/>
            <w:vMerge/>
            <w:shd w:val="clear" w:color="auto" w:fill="B8CCE4" w:themeFill="accent1" w:themeFillTint="66"/>
            <w:noWrap/>
          </w:tcPr>
          <w:p w14:paraId="41A17589" w14:textId="77777777" w:rsidR="00352885" w:rsidRPr="00DD0B04" w:rsidRDefault="00352885" w:rsidP="00B17AB2">
            <w:pPr>
              <w:spacing w:line="276" w:lineRule="auto"/>
              <w:jc w:val="center"/>
              <w:rPr>
                <w:rFonts w:ascii="Century Gothic" w:hAnsi="Century Gothic" w:cs="Arial"/>
                <w:b/>
                <w:bCs/>
                <w:sz w:val="20"/>
                <w:szCs w:val="20"/>
              </w:rPr>
            </w:pPr>
          </w:p>
        </w:tc>
        <w:tc>
          <w:tcPr>
            <w:tcW w:w="818" w:type="dxa"/>
            <w:shd w:val="clear" w:color="auto" w:fill="B8CCE4" w:themeFill="accent1" w:themeFillTint="66"/>
            <w:vAlign w:val="center"/>
          </w:tcPr>
          <w:p w14:paraId="2FFEAC47" w14:textId="77777777" w:rsidR="001F214F" w:rsidRDefault="001F214F" w:rsidP="00B17AB2">
            <w:pPr>
              <w:spacing w:line="276" w:lineRule="auto"/>
              <w:jc w:val="center"/>
              <w:rPr>
                <w:rFonts w:ascii="Century Gothic" w:hAnsi="Century Gothic" w:cs="Arial"/>
                <w:b/>
                <w:bCs/>
                <w:sz w:val="20"/>
                <w:szCs w:val="20"/>
              </w:rPr>
            </w:pPr>
          </w:p>
          <w:p w14:paraId="6A26EF58" w14:textId="6C91C9FC" w:rsidR="00352885" w:rsidRPr="00DD0B04" w:rsidRDefault="00352885" w:rsidP="00B17AB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2014</w:t>
            </w:r>
          </w:p>
        </w:tc>
        <w:tc>
          <w:tcPr>
            <w:tcW w:w="875" w:type="dxa"/>
            <w:shd w:val="clear" w:color="auto" w:fill="B8CCE4" w:themeFill="accent1" w:themeFillTint="66"/>
            <w:vAlign w:val="center"/>
          </w:tcPr>
          <w:p w14:paraId="718A9562" w14:textId="77777777" w:rsidR="001F214F" w:rsidRDefault="001F214F" w:rsidP="00B17AB2">
            <w:pPr>
              <w:spacing w:line="276" w:lineRule="auto"/>
              <w:jc w:val="center"/>
              <w:rPr>
                <w:rFonts w:ascii="Century Gothic" w:hAnsi="Century Gothic" w:cs="Arial"/>
                <w:b/>
                <w:bCs/>
                <w:sz w:val="20"/>
                <w:szCs w:val="20"/>
              </w:rPr>
            </w:pPr>
          </w:p>
          <w:p w14:paraId="72B8F65B" w14:textId="043B49CB" w:rsidR="00352885" w:rsidRPr="00DD0B04" w:rsidRDefault="00352885" w:rsidP="00B17AB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2015</w:t>
            </w:r>
          </w:p>
        </w:tc>
        <w:tc>
          <w:tcPr>
            <w:tcW w:w="875" w:type="dxa"/>
            <w:shd w:val="clear" w:color="auto" w:fill="B8CCE4" w:themeFill="accent1" w:themeFillTint="66"/>
            <w:vAlign w:val="center"/>
          </w:tcPr>
          <w:p w14:paraId="3414277A" w14:textId="77777777" w:rsidR="001F214F" w:rsidRDefault="001F214F" w:rsidP="00B17AB2">
            <w:pPr>
              <w:spacing w:line="276" w:lineRule="auto"/>
              <w:jc w:val="center"/>
              <w:rPr>
                <w:rFonts w:ascii="Century Gothic" w:hAnsi="Century Gothic" w:cs="Arial"/>
                <w:b/>
                <w:bCs/>
                <w:sz w:val="20"/>
                <w:szCs w:val="20"/>
              </w:rPr>
            </w:pPr>
          </w:p>
          <w:p w14:paraId="3CCFF6C5" w14:textId="21C23FBE" w:rsidR="00352885" w:rsidRPr="00DD0B04" w:rsidRDefault="00352885" w:rsidP="00B17AB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2016</w:t>
            </w:r>
          </w:p>
        </w:tc>
        <w:tc>
          <w:tcPr>
            <w:tcW w:w="875" w:type="dxa"/>
            <w:shd w:val="clear" w:color="auto" w:fill="B8CCE4" w:themeFill="accent1" w:themeFillTint="66"/>
            <w:vAlign w:val="center"/>
          </w:tcPr>
          <w:p w14:paraId="1300D399" w14:textId="77777777" w:rsidR="001F214F" w:rsidRDefault="001F214F" w:rsidP="00B17AB2">
            <w:pPr>
              <w:spacing w:line="276" w:lineRule="auto"/>
              <w:jc w:val="center"/>
              <w:rPr>
                <w:rFonts w:ascii="Century Gothic" w:hAnsi="Century Gothic" w:cs="Arial"/>
                <w:b/>
                <w:bCs/>
                <w:sz w:val="20"/>
                <w:szCs w:val="20"/>
              </w:rPr>
            </w:pPr>
          </w:p>
          <w:p w14:paraId="113ACB32" w14:textId="3A66C0D7" w:rsidR="00352885" w:rsidRPr="00DD0B04" w:rsidRDefault="00352885" w:rsidP="00B17AB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2017</w:t>
            </w:r>
          </w:p>
        </w:tc>
        <w:tc>
          <w:tcPr>
            <w:tcW w:w="804" w:type="dxa"/>
            <w:shd w:val="clear" w:color="auto" w:fill="B8CCE4" w:themeFill="accent1" w:themeFillTint="66"/>
            <w:vAlign w:val="center"/>
          </w:tcPr>
          <w:p w14:paraId="7FC16C5A" w14:textId="77777777" w:rsidR="001F214F" w:rsidRDefault="001F214F" w:rsidP="00B17AB2">
            <w:pPr>
              <w:spacing w:line="276" w:lineRule="auto"/>
              <w:jc w:val="center"/>
              <w:rPr>
                <w:rFonts w:ascii="Century Gothic" w:hAnsi="Century Gothic" w:cs="Arial"/>
                <w:b/>
                <w:bCs/>
                <w:sz w:val="20"/>
                <w:szCs w:val="20"/>
              </w:rPr>
            </w:pPr>
          </w:p>
          <w:p w14:paraId="1791F8A9" w14:textId="5D898508" w:rsidR="00352885" w:rsidRPr="00DD0B04" w:rsidRDefault="00352885" w:rsidP="00B17AB2">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2018</w:t>
            </w:r>
          </w:p>
        </w:tc>
        <w:tc>
          <w:tcPr>
            <w:tcW w:w="881" w:type="dxa"/>
            <w:shd w:val="clear" w:color="auto" w:fill="B8CCE4" w:themeFill="accent1" w:themeFillTint="66"/>
          </w:tcPr>
          <w:p w14:paraId="5BF83EAE" w14:textId="77777777" w:rsidR="001F214F" w:rsidRDefault="001F214F" w:rsidP="00352885">
            <w:pPr>
              <w:spacing w:line="276" w:lineRule="auto"/>
              <w:jc w:val="center"/>
              <w:rPr>
                <w:rFonts w:ascii="Century Gothic" w:hAnsi="Century Gothic" w:cs="Arial"/>
                <w:b/>
                <w:bCs/>
                <w:sz w:val="20"/>
                <w:szCs w:val="20"/>
              </w:rPr>
            </w:pPr>
          </w:p>
          <w:p w14:paraId="1E510538" w14:textId="1D79928F" w:rsidR="00352885" w:rsidRPr="00DD0B04" w:rsidRDefault="00352885" w:rsidP="00352885">
            <w:pPr>
              <w:spacing w:line="276" w:lineRule="auto"/>
              <w:jc w:val="center"/>
              <w:rPr>
                <w:rFonts w:ascii="Century Gothic" w:hAnsi="Century Gothic" w:cs="Arial"/>
                <w:b/>
                <w:bCs/>
                <w:sz w:val="20"/>
                <w:szCs w:val="20"/>
              </w:rPr>
            </w:pPr>
            <w:r>
              <w:rPr>
                <w:rFonts w:ascii="Century Gothic" w:hAnsi="Century Gothic" w:cs="Arial"/>
                <w:b/>
                <w:bCs/>
                <w:sz w:val="20"/>
                <w:szCs w:val="20"/>
              </w:rPr>
              <w:t>2019</w:t>
            </w:r>
          </w:p>
        </w:tc>
      </w:tr>
      <w:tr w:rsidR="00352885" w:rsidRPr="005637F2" w14:paraId="1E565F4E" w14:textId="2541FEDA" w:rsidTr="00304742">
        <w:trPr>
          <w:trHeight w:val="415"/>
          <w:jc w:val="center"/>
        </w:trPr>
        <w:tc>
          <w:tcPr>
            <w:tcW w:w="4365" w:type="dxa"/>
            <w:shd w:val="clear" w:color="auto" w:fill="DBE5F1" w:themeFill="accent1" w:themeFillTint="33"/>
            <w:noWrap/>
          </w:tcPr>
          <w:p w14:paraId="6BDDD3F0" w14:textId="38980685" w:rsidR="00352885" w:rsidRPr="00DD0B04" w:rsidRDefault="00352885" w:rsidP="00B17AB2">
            <w:pPr>
              <w:spacing w:line="276" w:lineRule="auto"/>
              <w:jc w:val="center"/>
              <w:rPr>
                <w:rFonts w:ascii="Century Gothic" w:hAnsi="Century Gothic" w:cs="Arial"/>
                <w:sz w:val="20"/>
                <w:szCs w:val="20"/>
              </w:rPr>
            </w:pPr>
            <w:bookmarkStart w:id="0" w:name="m_5496749265742339522_208"/>
            <w:r w:rsidRPr="00DD0B04">
              <w:rPr>
                <w:rFonts w:ascii="Century Gothic" w:hAnsi="Century Gothic" w:cs="Arial"/>
                <w:sz w:val="20"/>
                <w:szCs w:val="20"/>
              </w:rPr>
              <w:t>Artículo 208. Acceso carnal abusivo con menor de catorce años.</w:t>
            </w:r>
            <w:bookmarkEnd w:id="0"/>
          </w:p>
        </w:tc>
        <w:tc>
          <w:tcPr>
            <w:tcW w:w="818" w:type="dxa"/>
            <w:shd w:val="clear" w:color="auto" w:fill="DBE5F1" w:themeFill="accent1" w:themeFillTint="33"/>
            <w:vAlign w:val="center"/>
          </w:tcPr>
          <w:p w14:paraId="079E31FD" w14:textId="77777777" w:rsidR="005637F2" w:rsidRDefault="005637F2" w:rsidP="00B17AB2">
            <w:pPr>
              <w:spacing w:line="276" w:lineRule="auto"/>
              <w:jc w:val="center"/>
              <w:rPr>
                <w:rFonts w:ascii="Century Gothic" w:hAnsi="Century Gothic" w:cs="Arial"/>
                <w:sz w:val="20"/>
                <w:szCs w:val="20"/>
              </w:rPr>
            </w:pPr>
          </w:p>
          <w:p w14:paraId="38189480" w14:textId="6F7C1E2A" w:rsidR="00352885" w:rsidRPr="00DD0B04" w:rsidRDefault="00560DD8" w:rsidP="00B17AB2">
            <w:pPr>
              <w:spacing w:line="276" w:lineRule="auto"/>
              <w:jc w:val="center"/>
              <w:rPr>
                <w:rFonts w:ascii="Century Gothic" w:hAnsi="Century Gothic" w:cs="Arial"/>
                <w:sz w:val="20"/>
                <w:szCs w:val="20"/>
              </w:rPr>
            </w:pPr>
            <w:r>
              <w:rPr>
                <w:rFonts w:ascii="Century Gothic" w:hAnsi="Century Gothic" w:cs="Arial"/>
                <w:sz w:val="20"/>
                <w:szCs w:val="20"/>
              </w:rPr>
              <w:t>8.626</w:t>
            </w:r>
          </w:p>
        </w:tc>
        <w:tc>
          <w:tcPr>
            <w:tcW w:w="875" w:type="dxa"/>
            <w:shd w:val="clear" w:color="auto" w:fill="DBE5F1" w:themeFill="accent1" w:themeFillTint="33"/>
            <w:vAlign w:val="center"/>
          </w:tcPr>
          <w:p w14:paraId="548A257F" w14:textId="77777777" w:rsidR="005637F2" w:rsidRDefault="005637F2" w:rsidP="00B17AB2">
            <w:pPr>
              <w:spacing w:line="276" w:lineRule="auto"/>
              <w:jc w:val="center"/>
              <w:rPr>
                <w:rFonts w:ascii="Century Gothic" w:hAnsi="Century Gothic" w:cs="Arial"/>
                <w:sz w:val="20"/>
                <w:szCs w:val="20"/>
              </w:rPr>
            </w:pPr>
          </w:p>
          <w:p w14:paraId="2205C526" w14:textId="5AF06CC8" w:rsidR="00352885" w:rsidRPr="00DD0B04" w:rsidRDefault="005637F2" w:rsidP="00B17AB2">
            <w:pPr>
              <w:spacing w:line="276" w:lineRule="auto"/>
              <w:jc w:val="center"/>
              <w:rPr>
                <w:rFonts w:ascii="Century Gothic" w:hAnsi="Century Gothic" w:cs="Arial"/>
                <w:sz w:val="20"/>
                <w:szCs w:val="20"/>
              </w:rPr>
            </w:pPr>
            <w:r>
              <w:rPr>
                <w:rFonts w:ascii="Century Gothic" w:hAnsi="Century Gothic" w:cs="Arial"/>
                <w:sz w:val="20"/>
                <w:szCs w:val="20"/>
              </w:rPr>
              <w:t>8.882</w:t>
            </w:r>
          </w:p>
        </w:tc>
        <w:tc>
          <w:tcPr>
            <w:tcW w:w="875" w:type="dxa"/>
            <w:shd w:val="clear" w:color="auto" w:fill="DBE5F1" w:themeFill="accent1" w:themeFillTint="33"/>
            <w:vAlign w:val="center"/>
          </w:tcPr>
          <w:p w14:paraId="2D1FAE06" w14:textId="77777777" w:rsidR="005637F2" w:rsidRDefault="005637F2" w:rsidP="00B17AB2">
            <w:pPr>
              <w:spacing w:line="276" w:lineRule="auto"/>
              <w:jc w:val="center"/>
              <w:rPr>
                <w:rFonts w:ascii="Century Gothic" w:hAnsi="Century Gothic" w:cs="Arial"/>
                <w:sz w:val="20"/>
                <w:szCs w:val="20"/>
              </w:rPr>
            </w:pPr>
          </w:p>
          <w:p w14:paraId="526903B1" w14:textId="52CD681B"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9.</w:t>
            </w:r>
            <w:r w:rsidR="005637F2">
              <w:rPr>
                <w:rFonts w:ascii="Century Gothic" w:hAnsi="Century Gothic" w:cs="Arial"/>
                <w:sz w:val="20"/>
                <w:szCs w:val="20"/>
              </w:rPr>
              <w:t>140</w:t>
            </w:r>
          </w:p>
        </w:tc>
        <w:tc>
          <w:tcPr>
            <w:tcW w:w="875" w:type="dxa"/>
            <w:shd w:val="clear" w:color="auto" w:fill="DBE5F1" w:themeFill="accent1" w:themeFillTint="33"/>
            <w:vAlign w:val="center"/>
          </w:tcPr>
          <w:p w14:paraId="1B2183AA" w14:textId="77777777" w:rsidR="005637F2" w:rsidRDefault="005637F2" w:rsidP="00B17AB2">
            <w:pPr>
              <w:spacing w:line="276" w:lineRule="auto"/>
              <w:jc w:val="center"/>
              <w:rPr>
                <w:rFonts w:ascii="Century Gothic" w:hAnsi="Century Gothic" w:cs="Arial"/>
                <w:sz w:val="20"/>
                <w:szCs w:val="20"/>
              </w:rPr>
            </w:pPr>
          </w:p>
          <w:p w14:paraId="21BF82AE" w14:textId="3363EA55"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5637F2">
              <w:rPr>
                <w:rFonts w:ascii="Century Gothic" w:hAnsi="Century Gothic" w:cs="Arial"/>
                <w:sz w:val="20"/>
                <w:szCs w:val="20"/>
              </w:rPr>
              <w:t>0.510</w:t>
            </w:r>
          </w:p>
        </w:tc>
        <w:tc>
          <w:tcPr>
            <w:tcW w:w="804" w:type="dxa"/>
            <w:shd w:val="clear" w:color="auto" w:fill="DBE5F1" w:themeFill="accent1" w:themeFillTint="33"/>
            <w:vAlign w:val="center"/>
          </w:tcPr>
          <w:p w14:paraId="6EF31210" w14:textId="77777777" w:rsidR="005637F2" w:rsidRDefault="005637F2" w:rsidP="00B17AB2">
            <w:pPr>
              <w:spacing w:line="276" w:lineRule="auto"/>
              <w:jc w:val="center"/>
              <w:rPr>
                <w:rFonts w:ascii="Century Gothic" w:hAnsi="Century Gothic" w:cs="Arial"/>
                <w:sz w:val="20"/>
                <w:szCs w:val="20"/>
              </w:rPr>
            </w:pPr>
          </w:p>
          <w:p w14:paraId="4B051DD5" w14:textId="6FC4E0DB"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5637F2">
              <w:rPr>
                <w:rFonts w:ascii="Century Gothic" w:hAnsi="Century Gothic" w:cs="Arial"/>
                <w:sz w:val="20"/>
                <w:szCs w:val="20"/>
              </w:rPr>
              <w:t>0</w:t>
            </w:r>
            <w:r w:rsidRPr="00DD0B04">
              <w:rPr>
                <w:rFonts w:ascii="Century Gothic" w:hAnsi="Century Gothic" w:cs="Arial"/>
                <w:sz w:val="20"/>
                <w:szCs w:val="20"/>
              </w:rPr>
              <w:t>.</w:t>
            </w:r>
            <w:r w:rsidR="005637F2">
              <w:rPr>
                <w:rFonts w:ascii="Century Gothic" w:hAnsi="Century Gothic" w:cs="Arial"/>
                <w:sz w:val="20"/>
                <w:szCs w:val="20"/>
              </w:rPr>
              <w:t>946</w:t>
            </w:r>
          </w:p>
        </w:tc>
        <w:tc>
          <w:tcPr>
            <w:tcW w:w="881" w:type="dxa"/>
            <w:shd w:val="clear" w:color="auto" w:fill="DBE5F1" w:themeFill="accent1" w:themeFillTint="33"/>
          </w:tcPr>
          <w:p w14:paraId="154E14AE" w14:textId="77777777" w:rsidR="005637F2" w:rsidRDefault="005637F2" w:rsidP="005637F2">
            <w:pPr>
              <w:spacing w:line="276" w:lineRule="auto"/>
              <w:rPr>
                <w:rFonts w:ascii="Century Gothic" w:hAnsi="Century Gothic" w:cs="Arial"/>
                <w:sz w:val="20"/>
                <w:szCs w:val="20"/>
              </w:rPr>
            </w:pPr>
          </w:p>
          <w:p w14:paraId="6FDAABF0" w14:textId="17C25546" w:rsidR="00352885" w:rsidRPr="00DD0B04" w:rsidRDefault="005637F2" w:rsidP="005637F2">
            <w:pPr>
              <w:spacing w:line="276" w:lineRule="auto"/>
              <w:jc w:val="center"/>
              <w:rPr>
                <w:rFonts w:ascii="Century Gothic" w:hAnsi="Century Gothic" w:cs="Arial"/>
                <w:sz w:val="20"/>
                <w:szCs w:val="20"/>
              </w:rPr>
            </w:pPr>
            <w:r>
              <w:rPr>
                <w:rFonts w:ascii="Century Gothic" w:hAnsi="Century Gothic" w:cs="Arial"/>
                <w:sz w:val="20"/>
                <w:szCs w:val="20"/>
              </w:rPr>
              <w:t>10.753</w:t>
            </w:r>
          </w:p>
        </w:tc>
      </w:tr>
      <w:tr w:rsidR="00352885" w:rsidRPr="002D6F59" w14:paraId="48EC2274" w14:textId="3302FF9D" w:rsidTr="00304742">
        <w:trPr>
          <w:trHeight w:val="351"/>
          <w:jc w:val="center"/>
        </w:trPr>
        <w:tc>
          <w:tcPr>
            <w:tcW w:w="4365" w:type="dxa"/>
            <w:shd w:val="clear" w:color="auto" w:fill="DBE5F1" w:themeFill="accent1" w:themeFillTint="33"/>
            <w:noWrap/>
          </w:tcPr>
          <w:p w14:paraId="7292EE87" w14:textId="6C7D7DED" w:rsidR="00352885" w:rsidRPr="00DD0B04" w:rsidRDefault="00352885" w:rsidP="00B17AB2">
            <w:pPr>
              <w:spacing w:line="276" w:lineRule="auto"/>
              <w:jc w:val="center"/>
              <w:rPr>
                <w:rFonts w:ascii="Century Gothic" w:hAnsi="Century Gothic" w:cs="Arial"/>
                <w:sz w:val="20"/>
                <w:szCs w:val="20"/>
              </w:rPr>
            </w:pPr>
            <w:bookmarkStart w:id="1" w:name="m_5496749265742339522_209"/>
            <w:r w:rsidRPr="00DD0B04">
              <w:rPr>
                <w:rFonts w:ascii="Century Gothic" w:hAnsi="Century Gothic" w:cs="Arial"/>
                <w:sz w:val="20"/>
                <w:szCs w:val="20"/>
              </w:rPr>
              <w:t>Artículo 209. Actos sexuales con menor de catorce años.</w:t>
            </w:r>
            <w:bookmarkEnd w:id="1"/>
          </w:p>
        </w:tc>
        <w:tc>
          <w:tcPr>
            <w:tcW w:w="818" w:type="dxa"/>
            <w:shd w:val="clear" w:color="auto" w:fill="DBE5F1" w:themeFill="accent1" w:themeFillTint="33"/>
            <w:vAlign w:val="center"/>
          </w:tcPr>
          <w:p w14:paraId="30E261AF" w14:textId="77777777" w:rsidR="00415E5D" w:rsidRDefault="00415E5D" w:rsidP="00B17AB2">
            <w:pPr>
              <w:spacing w:line="276" w:lineRule="auto"/>
              <w:jc w:val="center"/>
              <w:rPr>
                <w:rFonts w:ascii="Century Gothic" w:hAnsi="Century Gothic" w:cs="Arial"/>
                <w:sz w:val="20"/>
                <w:szCs w:val="20"/>
              </w:rPr>
            </w:pPr>
          </w:p>
          <w:p w14:paraId="09D59DEB" w14:textId="3804F2C6"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415E5D">
              <w:rPr>
                <w:rFonts w:ascii="Century Gothic" w:hAnsi="Century Gothic" w:cs="Arial"/>
                <w:sz w:val="20"/>
                <w:szCs w:val="20"/>
              </w:rPr>
              <w:t>0</w:t>
            </w:r>
            <w:r w:rsidRPr="00DD0B04">
              <w:rPr>
                <w:rFonts w:ascii="Century Gothic" w:hAnsi="Century Gothic" w:cs="Arial"/>
                <w:sz w:val="20"/>
                <w:szCs w:val="20"/>
              </w:rPr>
              <w:t>.</w:t>
            </w:r>
            <w:r w:rsidR="00415E5D">
              <w:rPr>
                <w:rFonts w:ascii="Century Gothic" w:hAnsi="Century Gothic" w:cs="Arial"/>
                <w:sz w:val="20"/>
                <w:szCs w:val="20"/>
              </w:rPr>
              <w:t>525</w:t>
            </w:r>
          </w:p>
        </w:tc>
        <w:tc>
          <w:tcPr>
            <w:tcW w:w="875" w:type="dxa"/>
            <w:shd w:val="clear" w:color="auto" w:fill="DBE5F1" w:themeFill="accent1" w:themeFillTint="33"/>
            <w:vAlign w:val="center"/>
          </w:tcPr>
          <w:p w14:paraId="2567FC1B" w14:textId="77777777" w:rsidR="00415E5D" w:rsidRDefault="00415E5D" w:rsidP="00E448FB">
            <w:pPr>
              <w:spacing w:line="276" w:lineRule="auto"/>
              <w:jc w:val="center"/>
              <w:rPr>
                <w:rFonts w:ascii="Century Gothic" w:hAnsi="Century Gothic" w:cs="Arial"/>
                <w:sz w:val="20"/>
                <w:szCs w:val="20"/>
              </w:rPr>
            </w:pPr>
          </w:p>
          <w:p w14:paraId="2885626C" w14:textId="77CA428C" w:rsidR="00352885" w:rsidRPr="00DD0B04" w:rsidRDefault="00352885" w:rsidP="00E448FB">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415E5D">
              <w:rPr>
                <w:rFonts w:ascii="Century Gothic" w:hAnsi="Century Gothic" w:cs="Arial"/>
                <w:sz w:val="20"/>
                <w:szCs w:val="20"/>
              </w:rPr>
              <w:t>2.439</w:t>
            </w:r>
          </w:p>
        </w:tc>
        <w:tc>
          <w:tcPr>
            <w:tcW w:w="875" w:type="dxa"/>
            <w:shd w:val="clear" w:color="auto" w:fill="DBE5F1" w:themeFill="accent1" w:themeFillTint="33"/>
            <w:vAlign w:val="center"/>
          </w:tcPr>
          <w:p w14:paraId="192E8808" w14:textId="77777777" w:rsidR="00415E5D" w:rsidRDefault="00415E5D" w:rsidP="00B17AB2">
            <w:pPr>
              <w:spacing w:line="276" w:lineRule="auto"/>
              <w:jc w:val="center"/>
              <w:rPr>
                <w:rFonts w:ascii="Century Gothic" w:hAnsi="Century Gothic" w:cs="Arial"/>
                <w:sz w:val="20"/>
                <w:szCs w:val="20"/>
              </w:rPr>
            </w:pPr>
          </w:p>
          <w:p w14:paraId="201D7F69" w14:textId="213F6C68"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415E5D">
              <w:rPr>
                <w:rFonts w:ascii="Century Gothic" w:hAnsi="Century Gothic" w:cs="Arial"/>
                <w:sz w:val="20"/>
                <w:szCs w:val="20"/>
              </w:rPr>
              <w:t>2.145</w:t>
            </w:r>
          </w:p>
        </w:tc>
        <w:tc>
          <w:tcPr>
            <w:tcW w:w="875" w:type="dxa"/>
            <w:shd w:val="clear" w:color="auto" w:fill="DBE5F1" w:themeFill="accent1" w:themeFillTint="33"/>
            <w:vAlign w:val="center"/>
          </w:tcPr>
          <w:p w14:paraId="1A2835A7" w14:textId="77777777" w:rsidR="00415E5D" w:rsidRDefault="00415E5D" w:rsidP="00B17AB2">
            <w:pPr>
              <w:spacing w:line="276" w:lineRule="auto"/>
              <w:jc w:val="center"/>
              <w:rPr>
                <w:rFonts w:ascii="Century Gothic" w:hAnsi="Century Gothic" w:cs="Arial"/>
                <w:sz w:val="20"/>
                <w:szCs w:val="20"/>
              </w:rPr>
            </w:pPr>
          </w:p>
          <w:p w14:paraId="26AD9F23" w14:textId="292561DD"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415E5D">
              <w:rPr>
                <w:rFonts w:ascii="Century Gothic" w:hAnsi="Century Gothic" w:cs="Arial"/>
                <w:sz w:val="20"/>
                <w:szCs w:val="20"/>
              </w:rPr>
              <w:t>4.673</w:t>
            </w:r>
          </w:p>
        </w:tc>
        <w:tc>
          <w:tcPr>
            <w:tcW w:w="804" w:type="dxa"/>
            <w:shd w:val="clear" w:color="auto" w:fill="DBE5F1" w:themeFill="accent1" w:themeFillTint="33"/>
            <w:vAlign w:val="center"/>
          </w:tcPr>
          <w:p w14:paraId="556BC83C" w14:textId="77777777" w:rsidR="00415E5D" w:rsidRDefault="00415E5D" w:rsidP="00B17AB2">
            <w:pPr>
              <w:spacing w:line="276" w:lineRule="auto"/>
              <w:jc w:val="center"/>
              <w:rPr>
                <w:rFonts w:ascii="Century Gothic" w:hAnsi="Century Gothic" w:cs="Arial"/>
                <w:sz w:val="20"/>
                <w:szCs w:val="20"/>
              </w:rPr>
            </w:pPr>
          </w:p>
          <w:p w14:paraId="6DBEB9D5" w14:textId="139EFD65" w:rsidR="00352885" w:rsidRPr="00DD0B04" w:rsidRDefault="00415E5D" w:rsidP="00B17AB2">
            <w:pPr>
              <w:spacing w:line="276" w:lineRule="auto"/>
              <w:jc w:val="center"/>
              <w:rPr>
                <w:rFonts w:ascii="Century Gothic" w:hAnsi="Century Gothic" w:cs="Arial"/>
                <w:sz w:val="20"/>
                <w:szCs w:val="20"/>
              </w:rPr>
            </w:pPr>
            <w:r>
              <w:rPr>
                <w:rFonts w:ascii="Century Gothic" w:hAnsi="Century Gothic" w:cs="Arial"/>
                <w:sz w:val="20"/>
                <w:szCs w:val="20"/>
              </w:rPr>
              <w:t>17.335</w:t>
            </w:r>
          </w:p>
        </w:tc>
        <w:tc>
          <w:tcPr>
            <w:tcW w:w="881" w:type="dxa"/>
            <w:shd w:val="clear" w:color="auto" w:fill="DBE5F1" w:themeFill="accent1" w:themeFillTint="33"/>
          </w:tcPr>
          <w:p w14:paraId="250F237F" w14:textId="77777777" w:rsidR="00415E5D" w:rsidRDefault="00415E5D" w:rsidP="00415E5D">
            <w:pPr>
              <w:spacing w:line="276" w:lineRule="auto"/>
              <w:jc w:val="center"/>
              <w:rPr>
                <w:rFonts w:ascii="Century Gothic" w:hAnsi="Century Gothic" w:cs="Arial"/>
                <w:sz w:val="20"/>
                <w:szCs w:val="20"/>
              </w:rPr>
            </w:pPr>
          </w:p>
          <w:p w14:paraId="1514F365" w14:textId="5C1B7973" w:rsidR="00352885" w:rsidRPr="00DD0B04" w:rsidRDefault="00415E5D" w:rsidP="00415E5D">
            <w:pPr>
              <w:spacing w:line="276" w:lineRule="auto"/>
              <w:jc w:val="center"/>
              <w:rPr>
                <w:rFonts w:ascii="Century Gothic" w:hAnsi="Century Gothic" w:cs="Arial"/>
                <w:sz w:val="20"/>
                <w:szCs w:val="20"/>
              </w:rPr>
            </w:pPr>
            <w:r>
              <w:rPr>
                <w:rFonts w:ascii="Century Gothic" w:hAnsi="Century Gothic" w:cs="Arial"/>
                <w:sz w:val="20"/>
                <w:szCs w:val="20"/>
              </w:rPr>
              <w:t>16.310</w:t>
            </w:r>
          </w:p>
        </w:tc>
      </w:tr>
      <w:tr w:rsidR="00352885" w:rsidRPr="002D6F59" w14:paraId="2F64B7B5" w14:textId="5FCA167F" w:rsidTr="00304742">
        <w:trPr>
          <w:trHeight w:val="351"/>
          <w:jc w:val="center"/>
        </w:trPr>
        <w:tc>
          <w:tcPr>
            <w:tcW w:w="4365" w:type="dxa"/>
            <w:shd w:val="clear" w:color="auto" w:fill="DBE5F1" w:themeFill="accent1" w:themeFillTint="33"/>
            <w:noWrap/>
          </w:tcPr>
          <w:p w14:paraId="25F2A292" w14:textId="7B39755C" w:rsidR="00352885" w:rsidRPr="00DD0B04" w:rsidRDefault="00352885" w:rsidP="00B17AB2">
            <w:pPr>
              <w:spacing w:line="276" w:lineRule="auto"/>
              <w:jc w:val="center"/>
              <w:rPr>
                <w:rFonts w:ascii="Century Gothic" w:hAnsi="Century Gothic" w:cs="Arial"/>
                <w:sz w:val="20"/>
                <w:szCs w:val="20"/>
              </w:rPr>
            </w:pPr>
            <w:bookmarkStart w:id="2" w:name="m_5496749265742339522_213-A"/>
            <w:r w:rsidRPr="00DD0B04">
              <w:rPr>
                <w:rFonts w:ascii="Century Gothic" w:hAnsi="Century Gothic" w:cs="Arial"/>
                <w:iCs/>
                <w:sz w:val="20"/>
                <w:szCs w:val="20"/>
              </w:rPr>
              <w:t>Artículo 213-a. Proxenetismo con menor de edad.</w:t>
            </w:r>
            <w:bookmarkEnd w:id="2"/>
          </w:p>
        </w:tc>
        <w:tc>
          <w:tcPr>
            <w:tcW w:w="818" w:type="dxa"/>
            <w:shd w:val="clear" w:color="auto" w:fill="DBE5F1" w:themeFill="accent1" w:themeFillTint="33"/>
            <w:vAlign w:val="center"/>
          </w:tcPr>
          <w:p w14:paraId="6E79EB9B" w14:textId="77777777" w:rsidR="00A72BAD" w:rsidRDefault="00A72BAD" w:rsidP="00B17AB2">
            <w:pPr>
              <w:spacing w:line="276" w:lineRule="auto"/>
              <w:jc w:val="center"/>
              <w:rPr>
                <w:rFonts w:ascii="Century Gothic" w:hAnsi="Century Gothic" w:cs="Arial"/>
                <w:sz w:val="20"/>
                <w:szCs w:val="20"/>
              </w:rPr>
            </w:pPr>
          </w:p>
          <w:p w14:paraId="68537A20" w14:textId="5E39E7AE"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49</w:t>
            </w:r>
          </w:p>
        </w:tc>
        <w:tc>
          <w:tcPr>
            <w:tcW w:w="875" w:type="dxa"/>
            <w:shd w:val="clear" w:color="auto" w:fill="DBE5F1" w:themeFill="accent1" w:themeFillTint="33"/>
            <w:vAlign w:val="center"/>
          </w:tcPr>
          <w:p w14:paraId="687DBD9E" w14:textId="77777777" w:rsidR="00A72BAD" w:rsidRDefault="00A72BAD" w:rsidP="00B17AB2">
            <w:pPr>
              <w:spacing w:line="276" w:lineRule="auto"/>
              <w:jc w:val="center"/>
              <w:rPr>
                <w:rFonts w:ascii="Century Gothic" w:hAnsi="Century Gothic" w:cs="Arial"/>
                <w:sz w:val="20"/>
                <w:szCs w:val="20"/>
              </w:rPr>
            </w:pPr>
          </w:p>
          <w:p w14:paraId="65811B94" w14:textId="56507AA4"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49</w:t>
            </w:r>
          </w:p>
        </w:tc>
        <w:tc>
          <w:tcPr>
            <w:tcW w:w="875" w:type="dxa"/>
            <w:shd w:val="clear" w:color="auto" w:fill="DBE5F1" w:themeFill="accent1" w:themeFillTint="33"/>
            <w:vAlign w:val="center"/>
          </w:tcPr>
          <w:p w14:paraId="481CE982" w14:textId="77777777" w:rsidR="00A72BAD" w:rsidRDefault="00A72BAD" w:rsidP="00B17AB2">
            <w:pPr>
              <w:spacing w:line="276" w:lineRule="auto"/>
              <w:jc w:val="center"/>
              <w:rPr>
                <w:rFonts w:ascii="Century Gothic" w:hAnsi="Century Gothic" w:cs="Arial"/>
                <w:sz w:val="20"/>
                <w:szCs w:val="20"/>
              </w:rPr>
            </w:pPr>
          </w:p>
          <w:p w14:paraId="250BE392" w14:textId="3AE040A6"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58</w:t>
            </w:r>
          </w:p>
        </w:tc>
        <w:tc>
          <w:tcPr>
            <w:tcW w:w="875" w:type="dxa"/>
            <w:shd w:val="clear" w:color="auto" w:fill="DBE5F1" w:themeFill="accent1" w:themeFillTint="33"/>
            <w:vAlign w:val="center"/>
          </w:tcPr>
          <w:p w14:paraId="12CD7133" w14:textId="77777777" w:rsidR="00A72BAD" w:rsidRDefault="00A72BAD" w:rsidP="00B17AB2">
            <w:pPr>
              <w:spacing w:line="276" w:lineRule="auto"/>
              <w:jc w:val="center"/>
              <w:rPr>
                <w:rFonts w:ascii="Century Gothic" w:hAnsi="Century Gothic" w:cs="Arial"/>
                <w:sz w:val="20"/>
                <w:szCs w:val="20"/>
              </w:rPr>
            </w:pPr>
          </w:p>
          <w:p w14:paraId="5426139B" w14:textId="18370BD4"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92</w:t>
            </w:r>
          </w:p>
        </w:tc>
        <w:tc>
          <w:tcPr>
            <w:tcW w:w="804" w:type="dxa"/>
            <w:shd w:val="clear" w:color="auto" w:fill="DBE5F1" w:themeFill="accent1" w:themeFillTint="33"/>
            <w:vAlign w:val="center"/>
          </w:tcPr>
          <w:p w14:paraId="3846A5FD" w14:textId="77777777" w:rsidR="00A72BAD" w:rsidRDefault="00A72BAD" w:rsidP="00B17AB2">
            <w:pPr>
              <w:spacing w:line="276" w:lineRule="auto"/>
              <w:jc w:val="center"/>
              <w:rPr>
                <w:rFonts w:ascii="Century Gothic" w:hAnsi="Century Gothic" w:cs="Arial"/>
                <w:sz w:val="20"/>
                <w:szCs w:val="20"/>
              </w:rPr>
            </w:pPr>
          </w:p>
          <w:p w14:paraId="53CB0AA8" w14:textId="6E7C794E"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125</w:t>
            </w:r>
          </w:p>
        </w:tc>
        <w:tc>
          <w:tcPr>
            <w:tcW w:w="881" w:type="dxa"/>
            <w:shd w:val="clear" w:color="auto" w:fill="DBE5F1" w:themeFill="accent1" w:themeFillTint="33"/>
          </w:tcPr>
          <w:p w14:paraId="60A61329" w14:textId="77777777" w:rsidR="00A72BAD" w:rsidRDefault="00A72BAD" w:rsidP="00B17AB2">
            <w:pPr>
              <w:spacing w:line="276" w:lineRule="auto"/>
              <w:jc w:val="center"/>
              <w:rPr>
                <w:rFonts w:ascii="Century Gothic" w:hAnsi="Century Gothic" w:cs="Arial"/>
                <w:sz w:val="20"/>
                <w:szCs w:val="20"/>
              </w:rPr>
            </w:pPr>
          </w:p>
          <w:p w14:paraId="66CDF7CD" w14:textId="644FB380"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128</w:t>
            </w:r>
          </w:p>
        </w:tc>
      </w:tr>
      <w:tr w:rsidR="00352885" w:rsidRPr="002D6F59" w14:paraId="1B2D1FFA" w14:textId="06A8625F" w:rsidTr="00304742">
        <w:trPr>
          <w:trHeight w:val="351"/>
          <w:jc w:val="center"/>
        </w:trPr>
        <w:tc>
          <w:tcPr>
            <w:tcW w:w="4365" w:type="dxa"/>
            <w:shd w:val="clear" w:color="auto" w:fill="DBE5F1" w:themeFill="accent1" w:themeFillTint="33"/>
            <w:noWrap/>
          </w:tcPr>
          <w:p w14:paraId="45E86B14" w14:textId="2025EE7A" w:rsidR="00352885" w:rsidRPr="00DD0B04" w:rsidRDefault="00352885" w:rsidP="00B17AB2">
            <w:pPr>
              <w:spacing w:line="276" w:lineRule="auto"/>
              <w:jc w:val="center"/>
              <w:rPr>
                <w:rFonts w:ascii="Century Gothic" w:hAnsi="Century Gothic" w:cs="Arial"/>
                <w:sz w:val="20"/>
                <w:szCs w:val="20"/>
              </w:rPr>
            </w:pPr>
            <w:bookmarkStart w:id="3" w:name="m_5496749265742339522_217"/>
            <w:r w:rsidRPr="00DD0B04">
              <w:rPr>
                <w:rFonts w:ascii="Century Gothic" w:hAnsi="Century Gothic" w:cs="Arial"/>
                <w:sz w:val="20"/>
                <w:szCs w:val="20"/>
              </w:rPr>
              <w:t>Artículo 217. Estímulo a la prostitución de menores.</w:t>
            </w:r>
            <w:bookmarkEnd w:id="3"/>
          </w:p>
        </w:tc>
        <w:tc>
          <w:tcPr>
            <w:tcW w:w="818" w:type="dxa"/>
            <w:shd w:val="clear" w:color="auto" w:fill="DBE5F1" w:themeFill="accent1" w:themeFillTint="33"/>
            <w:vAlign w:val="center"/>
          </w:tcPr>
          <w:p w14:paraId="56EC425E" w14:textId="77777777" w:rsidR="00A72BAD" w:rsidRDefault="00A72BAD" w:rsidP="00B17AB2">
            <w:pPr>
              <w:spacing w:line="276" w:lineRule="auto"/>
              <w:jc w:val="center"/>
              <w:rPr>
                <w:rFonts w:ascii="Century Gothic" w:hAnsi="Century Gothic" w:cs="Arial"/>
                <w:sz w:val="20"/>
                <w:szCs w:val="20"/>
              </w:rPr>
            </w:pPr>
          </w:p>
          <w:p w14:paraId="0060AD52" w14:textId="57183669"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13</w:t>
            </w:r>
          </w:p>
        </w:tc>
        <w:tc>
          <w:tcPr>
            <w:tcW w:w="875" w:type="dxa"/>
            <w:shd w:val="clear" w:color="auto" w:fill="DBE5F1" w:themeFill="accent1" w:themeFillTint="33"/>
            <w:vAlign w:val="center"/>
          </w:tcPr>
          <w:p w14:paraId="617DD4BD" w14:textId="77777777" w:rsidR="00A72BAD" w:rsidRDefault="00A72BAD" w:rsidP="00B17AB2">
            <w:pPr>
              <w:spacing w:line="276" w:lineRule="auto"/>
              <w:jc w:val="center"/>
              <w:rPr>
                <w:rFonts w:ascii="Century Gothic" w:hAnsi="Century Gothic" w:cs="Arial"/>
                <w:sz w:val="20"/>
                <w:szCs w:val="20"/>
              </w:rPr>
            </w:pPr>
          </w:p>
          <w:p w14:paraId="17E5C81B" w14:textId="40BB0363"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23</w:t>
            </w:r>
          </w:p>
        </w:tc>
        <w:tc>
          <w:tcPr>
            <w:tcW w:w="875" w:type="dxa"/>
            <w:shd w:val="clear" w:color="auto" w:fill="DBE5F1" w:themeFill="accent1" w:themeFillTint="33"/>
            <w:vAlign w:val="center"/>
          </w:tcPr>
          <w:p w14:paraId="3636AA48" w14:textId="77777777" w:rsidR="00A72BAD" w:rsidRDefault="00A72BAD" w:rsidP="00B17AB2">
            <w:pPr>
              <w:spacing w:line="276" w:lineRule="auto"/>
              <w:jc w:val="center"/>
              <w:rPr>
                <w:rFonts w:ascii="Century Gothic" w:hAnsi="Century Gothic" w:cs="Arial"/>
                <w:sz w:val="20"/>
                <w:szCs w:val="20"/>
              </w:rPr>
            </w:pPr>
          </w:p>
          <w:p w14:paraId="653A78D1" w14:textId="33574674"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A72BAD">
              <w:rPr>
                <w:rFonts w:ascii="Century Gothic" w:hAnsi="Century Gothic" w:cs="Arial"/>
                <w:sz w:val="20"/>
                <w:szCs w:val="20"/>
              </w:rPr>
              <w:t>1</w:t>
            </w:r>
          </w:p>
        </w:tc>
        <w:tc>
          <w:tcPr>
            <w:tcW w:w="875" w:type="dxa"/>
            <w:shd w:val="clear" w:color="auto" w:fill="DBE5F1" w:themeFill="accent1" w:themeFillTint="33"/>
            <w:vAlign w:val="center"/>
          </w:tcPr>
          <w:p w14:paraId="349CF983" w14:textId="77777777" w:rsidR="00A72BAD" w:rsidRDefault="00A72BAD" w:rsidP="00B17AB2">
            <w:pPr>
              <w:spacing w:line="276" w:lineRule="auto"/>
              <w:jc w:val="center"/>
              <w:rPr>
                <w:rFonts w:ascii="Century Gothic" w:hAnsi="Century Gothic" w:cs="Arial"/>
                <w:sz w:val="20"/>
                <w:szCs w:val="20"/>
              </w:rPr>
            </w:pPr>
          </w:p>
          <w:p w14:paraId="0F39DD4D" w14:textId="6A2F5356"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25</w:t>
            </w:r>
          </w:p>
        </w:tc>
        <w:tc>
          <w:tcPr>
            <w:tcW w:w="804" w:type="dxa"/>
            <w:shd w:val="clear" w:color="auto" w:fill="DBE5F1" w:themeFill="accent1" w:themeFillTint="33"/>
            <w:vAlign w:val="center"/>
          </w:tcPr>
          <w:p w14:paraId="40BC6F18" w14:textId="77777777" w:rsidR="00A72BAD" w:rsidRDefault="00A72BAD" w:rsidP="00B17AB2">
            <w:pPr>
              <w:spacing w:line="276" w:lineRule="auto"/>
              <w:jc w:val="center"/>
              <w:rPr>
                <w:rFonts w:ascii="Century Gothic" w:hAnsi="Century Gothic" w:cs="Arial"/>
                <w:sz w:val="20"/>
                <w:szCs w:val="20"/>
              </w:rPr>
            </w:pPr>
          </w:p>
          <w:p w14:paraId="39EB83D4" w14:textId="051CE651"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2</w:t>
            </w:r>
            <w:r w:rsidR="00A72BAD">
              <w:rPr>
                <w:rFonts w:ascii="Century Gothic" w:hAnsi="Century Gothic" w:cs="Arial"/>
                <w:sz w:val="20"/>
                <w:szCs w:val="20"/>
              </w:rPr>
              <w:t>0</w:t>
            </w:r>
          </w:p>
        </w:tc>
        <w:tc>
          <w:tcPr>
            <w:tcW w:w="881" w:type="dxa"/>
            <w:shd w:val="clear" w:color="auto" w:fill="DBE5F1" w:themeFill="accent1" w:themeFillTint="33"/>
          </w:tcPr>
          <w:p w14:paraId="20FF9261" w14:textId="77777777" w:rsidR="00A72BAD" w:rsidRDefault="00A72BAD" w:rsidP="00B17AB2">
            <w:pPr>
              <w:spacing w:line="276" w:lineRule="auto"/>
              <w:jc w:val="center"/>
              <w:rPr>
                <w:rFonts w:ascii="Century Gothic" w:hAnsi="Century Gothic" w:cs="Arial"/>
                <w:sz w:val="20"/>
                <w:szCs w:val="20"/>
              </w:rPr>
            </w:pPr>
          </w:p>
          <w:p w14:paraId="04D28366" w14:textId="17FEB201"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34</w:t>
            </w:r>
          </w:p>
        </w:tc>
      </w:tr>
      <w:tr w:rsidR="00352885" w:rsidRPr="002D6F59" w14:paraId="6AE2EFD2" w14:textId="1B078BF7" w:rsidTr="00304742">
        <w:trPr>
          <w:trHeight w:val="525"/>
          <w:jc w:val="center"/>
        </w:trPr>
        <w:tc>
          <w:tcPr>
            <w:tcW w:w="4365" w:type="dxa"/>
            <w:shd w:val="clear" w:color="auto" w:fill="DBE5F1" w:themeFill="accent1" w:themeFillTint="33"/>
            <w:noWrap/>
          </w:tcPr>
          <w:p w14:paraId="2D3089FF" w14:textId="2EC82CDF" w:rsidR="00352885" w:rsidRPr="00DD0B04" w:rsidRDefault="00352885" w:rsidP="00B17AB2">
            <w:pPr>
              <w:spacing w:line="276" w:lineRule="auto"/>
              <w:jc w:val="center"/>
              <w:rPr>
                <w:rFonts w:ascii="Century Gothic" w:hAnsi="Century Gothic" w:cs="Arial"/>
                <w:sz w:val="20"/>
                <w:szCs w:val="20"/>
              </w:rPr>
            </w:pPr>
            <w:bookmarkStart w:id="4" w:name="m_5496749265742339522_217-A"/>
            <w:r w:rsidRPr="00DD0B04">
              <w:rPr>
                <w:rFonts w:ascii="Century Gothic" w:hAnsi="Century Gothic" w:cs="Arial"/>
                <w:sz w:val="20"/>
                <w:szCs w:val="20"/>
              </w:rPr>
              <w:t>Artículo 217-a. </w:t>
            </w:r>
            <w:r w:rsidRPr="00DD0B04">
              <w:rPr>
                <w:rFonts w:ascii="Century Gothic" w:hAnsi="Century Gothic" w:cs="Arial"/>
                <w:iCs/>
                <w:sz w:val="20"/>
                <w:szCs w:val="20"/>
              </w:rPr>
              <w:t>Demanda de explotación sexual comercial de persona menor de 18 años de edad</w:t>
            </w:r>
            <w:bookmarkEnd w:id="4"/>
          </w:p>
        </w:tc>
        <w:tc>
          <w:tcPr>
            <w:tcW w:w="818" w:type="dxa"/>
            <w:shd w:val="clear" w:color="auto" w:fill="DBE5F1" w:themeFill="accent1" w:themeFillTint="33"/>
            <w:vAlign w:val="center"/>
          </w:tcPr>
          <w:p w14:paraId="3A2ABCC0" w14:textId="733DA7CF"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A72BAD">
              <w:rPr>
                <w:rFonts w:ascii="Century Gothic" w:hAnsi="Century Gothic" w:cs="Arial"/>
                <w:sz w:val="20"/>
                <w:szCs w:val="20"/>
              </w:rPr>
              <w:t>49</w:t>
            </w:r>
          </w:p>
        </w:tc>
        <w:tc>
          <w:tcPr>
            <w:tcW w:w="875" w:type="dxa"/>
            <w:shd w:val="clear" w:color="auto" w:fill="DBE5F1" w:themeFill="accent1" w:themeFillTint="33"/>
            <w:vAlign w:val="center"/>
          </w:tcPr>
          <w:p w14:paraId="1497E5AC" w14:textId="1B1F3B6C"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A72BAD">
              <w:rPr>
                <w:rFonts w:ascii="Century Gothic" w:hAnsi="Century Gothic" w:cs="Arial"/>
                <w:sz w:val="20"/>
                <w:szCs w:val="20"/>
              </w:rPr>
              <w:t>53</w:t>
            </w:r>
          </w:p>
        </w:tc>
        <w:tc>
          <w:tcPr>
            <w:tcW w:w="875" w:type="dxa"/>
            <w:shd w:val="clear" w:color="auto" w:fill="DBE5F1" w:themeFill="accent1" w:themeFillTint="33"/>
            <w:vAlign w:val="center"/>
          </w:tcPr>
          <w:p w14:paraId="2252BBBF" w14:textId="43D291ED"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w:t>
            </w:r>
            <w:r w:rsidR="00A72BAD">
              <w:rPr>
                <w:rFonts w:ascii="Century Gothic" w:hAnsi="Century Gothic" w:cs="Arial"/>
                <w:sz w:val="20"/>
                <w:szCs w:val="20"/>
              </w:rPr>
              <w:t>55</w:t>
            </w:r>
          </w:p>
        </w:tc>
        <w:tc>
          <w:tcPr>
            <w:tcW w:w="875" w:type="dxa"/>
            <w:shd w:val="clear" w:color="auto" w:fill="DBE5F1" w:themeFill="accent1" w:themeFillTint="33"/>
            <w:vAlign w:val="center"/>
          </w:tcPr>
          <w:p w14:paraId="5AF95412" w14:textId="3350FBC3"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2</w:t>
            </w:r>
            <w:r w:rsidR="00A72BAD">
              <w:rPr>
                <w:rFonts w:ascii="Century Gothic" w:hAnsi="Century Gothic" w:cs="Arial"/>
                <w:sz w:val="20"/>
                <w:szCs w:val="20"/>
              </w:rPr>
              <w:t>57</w:t>
            </w:r>
          </w:p>
        </w:tc>
        <w:tc>
          <w:tcPr>
            <w:tcW w:w="804" w:type="dxa"/>
            <w:shd w:val="clear" w:color="auto" w:fill="DBE5F1" w:themeFill="accent1" w:themeFillTint="33"/>
            <w:vAlign w:val="center"/>
          </w:tcPr>
          <w:p w14:paraId="2A1B0D88" w14:textId="2FBD98FA"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3</w:t>
            </w:r>
            <w:r w:rsidR="00A72BAD">
              <w:rPr>
                <w:rFonts w:ascii="Century Gothic" w:hAnsi="Century Gothic" w:cs="Arial"/>
                <w:sz w:val="20"/>
                <w:szCs w:val="20"/>
              </w:rPr>
              <w:t>36</w:t>
            </w:r>
          </w:p>
        </w:tc>
        <w:tc>
          <w:tcPr>
            <w:tcW w:w="881" w:type="dxa"/>
            <w:shd w:val="clear" w:color="auto" w:fill="DBE5F1" w:themeFill="accent1" w:themeFillTint="33"/>
          </w:tcPr>
          <w:p w14:paraId="03979630" w14:textId="77777777" w:rsidR="00A72BAD" w:rsidRDefault="00A72BAD" w:rsidP="00B17AB2">
            <w:pPr>
              <w:spacing w:line="276" w:lineRule="auto"/>
              <w:jc w:val="center"/>
              <w:rPr>
                <w:rFonts w:ascii="Century Gothic" w:hAnsi="Century Gothic" w:cs="Arial"/>
                <w:sz w:val="20"/>
                <w:szCs w:val="20"/>
              </w:rPr>
            </w:pPr>
          </w:p>
          <w:p w14:paraId="0B914725" w14:textId="4259A18E" w:rsidR="00352885" w:rsidRPr="00DD0B04" w:rsidRDefault="00A72BAD" w:rsidP="00B17AB2">
            <w:pPr>
              <w:spacing w:line="276" w:lineRule="auto"/>
              <w:jc w:val="center"/>
              <w:rPr>
                <w:rFonts w:ascii="Century Gothic" w:hAnsi="Century Gothic" w:cs="Arial"/>
                <w:sz w:val="20"/>
                <w:szCs w:val="20"/>
              </w:rPr>
            </w:pPr>
            <w:r>
              <w:rPr>
                <w:rFonts w:ascii="Century Gothic" w:hAnsi="Century Gothic" w:cs="Arial"/>
                <w:sz w:val="20"/>
                <w:szCs w:val="20"/>
              </w:rPr>
              <w:t>363</w:t>
            </w:r>
          </w:p>
        </w:tc>
      </w:tr>
      <w:tr w:rsidR="00352885" w:rsidRPr="002D6F59" w14:paraId="5A371004" w14:textId="5F6303B2" w:rsidTr="00304742">
        <w:trPr>
          <w:trHeight w:val="351"/>
          <w:jc w:val="center"/>
        </w:trPr>
        <w:tc>
          <w:tcPr>
            <w:tcW w:w="4365" w:type="dxa"/>
            <w:shd w:val="clear" w:color="auto" w:fill="DBE5F1" w:themeFill="accent1" w:themeFillTint="33"/>
            <w:noWrap/>
          </w:tcPr>
          <w:p w14:paraId="1F174E31" w14:textId="14CCE53E" w:rsidR="00352885" w:rsidRPr="00DD0B04" w:rsidRDefault="00352885" w:rsidP="00B17AB2">
            <w:pPr>
              <w:spacing w:line="276" w:lineRule="auto"/>
              <w:jc w:val="center"/>
              <w:rPr>
                <w:rFonts w:ascii="Century Gothic" w:hAnsi="Century Gothic" w:cs="Arial"/>
                <w:sz w:val="20"/>
                <w:szCs w:val="20"/>
              </w:rPr>
            </w:pPr>
            <w:bookmarkStart w:id="5" w:name="m_5496749265742339522_218"/>
            <w:r w:rsidRPr="00DD0B04">
              <w:rPr>
                <w:rFonts w:ascii="Century Gothic" w:hAnsi="Century Gothic" w:cs="Arial"/>
                <w:sz w:val="20"/>
                <w:szCs w:val="20"/>
              </w:rPr>
              <w:t>Artículo 218. Pornografía con personas menores de 18 años.</w:t>
            </w:r>
            <w:bookmarkEnd w:id="5"/>
          </w:p>
        </w:tc>
        <w:tc>
          <w:tcPr>
            <w:tcW w:w="818" w:type="dxa"/>
            <w:shd w:val="clear" w:color="auto" w:fill="DBE5F1" w:themeFill="accent1" w:themeFillTint="33"/>
            <w:vAlign w:val="center"/>
          </w:tcPr>
          <w:p w14:paraId="19915301" w14:textId="77777777" w:rsidR="001A2414" w:rsidRDefault="001A2414" w:rsidP="00B17AB2">
            <w:pPr>
              <w:spacing w:line="276" w:lineRule="auto"/>
              <w:jc w:val="center"/>
              <w:rPr>
                <w:rFonts w:ascii="Century Gothic" w:hAnsi="Century Gothic" w:cs="Arial"/>
                <w:sz w:val="20"/>
                <w:szCs w:val="20"/>
              </w:rPr>
            </w:pPr>
          </w:p>
          <w:p w14:paraId="5C1F6DDD" w14:textId="7DED743D"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4</w:t>
            </w:r>
            <w:r w:rsidR="001A2414">
              <w:rPr>
                <w:rFonts w:ascii="Century Gothic" w:hAnsi="Century Gothic" w:cs="Arial"/>
                <w:sz w:val="20"/>
                <w:szCs w:val="20"/>
              </w:rPr>
              <w:t>61</w:t>
            </w:r>
          </w:p>
        </w:tc>
        <w:tc>
          <w:tcPr>
            <w:tcW w:w="875" w:type="dxa"/>
            <w:shd w:val="clear" w:color="auto" w:fill="DBE5F1" w:themeFill="accent1" w:themeFillTint="33"/>
            <w:vAlign w:val="center"/>
          </w:tcPr>
          <w:p w14:paraId="24C7A33D" w14:textId="77777777" w:rsidR="001A2414" w:rsidRDefault="001A2414" w:rsidP="00B17AB2">
            <w:pPr>
              <w:spacing w:line="276" w:lineRule="auto"/>
              <w:jc w:val="center"/>
              <w:rPr>
                <w:rFonts w:ascii="Century Gothic" w:hAnsi="Century Gothic" w:cs="Arial"/>
                <w:sz w:val="20"/>
                <w:szCs w:val="20"/>
              </w:rPr>
            </w:pPr>
          </w:p>
          <w:p w14:paraId="3CC69CBD" w14:textId="772A172A"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7</w:t>
            </w:r>
            <w:r w:rsidR="001A2414">
              <w:rPr>
                <w:rFonts w:ascii="Century Gothic" w:hAnsi="Century Gothic" w:cs="Arial"/>
                <w:sz w:val="20"/>
                <w:szCs w:val="20"/>
              </w:rPr>
              <w:t>25</w:t>
            </w:r>
          </w:p>
        </w:tc>
        <w:tc>
          <w:tcPr>
            <w:tcW w:w="875" w:type="dxa"/>
            <w:shd w:val="clear" w:color="auto" w:fill="DBE5F1" w:themeFill="accent1" w:themeFillTint="33"/>
            <w:vAlign w:val="center"/>
          </w:tcPr>
          <w:p w14:paraId="16B1943A" w14:textId="77777777" w:rsidR="001A2414" w:rsidRDefault="001A2414" w:rsidP="00B17AB2">
            <w:pPr>
              <w:spacing w:line="276" w:lineRule="auto"/>
              <w:jc w:val="center"/>
              <w:rPr>
                <w:rFonts w:ascii="Century Gothic" w:hAnsi="Century Gothic" w:cs="Arial"/>
                <w:sz w:val="20"/>
                <w:szCs w:val="20"/>
              </w:rPr>
            </w:pPr>
          </w:p>
          <w:p w14:paraId="2A77D641" w14:textId="19CE341A"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8</w:t>
            </w:r>
            <w:r w:rsidR="001A2414">
              <w:rPr>
                <w:rFonts w:ascii="Century Gothic" w:hAnsi="Century Gothic" w:cs="Arial"/>
                <w:sz w:val="20"/>
                <w:szCs w:val="20"/>
              </w:rPr>
              <w:t>31</w:t>
            </w:r>
          </w:p>
        </w:tc>
        <w:tc>
          <w:tcPr>
            <w:tcW w:w="875" w:type="dxa"/>
            <w:shd w:val="clear" w:color="auto" w:fill="DBE5F1" w:themeFill="accent1" w:themeFillTint="33"/>
            <w:vAlign w:val="center"/>
          </w:tcPr>
          <w:p w14:paraId="7808822A" w14:textId="77777777" w:rsidR="001A2414" w:rsidRDefault="001A2414" w:rsidP="00B17AB2">
            <w:pPr>
              <w:spacing w:line="276" w:lineRule="auto"/>
              <w:jc w:val="center"/>
              <w:rPr>
                <w:rFonts w:ascii="Century Gothic" w:hAnsi="Century Gothic" w:cs="Arial"/>
                <w:sz w:val="20"/>
                <w:szCs w:val="20"/>
              </w:rPr>
            </w:pPr>
          </w:p>
          <w:p w14:paraId="52633C0D" w14:textId="35903330"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1.1</w:t>
            </w:r>
            <w:r w:rsidR="001A2414">
              <w:rPr>
                <w:rFonts w:ascii="Century Gothic" w:hAnsi="Century Gothic" w:cs="Arial"/>
                <w:sz w:val="20"/>
                <w:szCs w:val="20"/>
              </w:rPr>
              <w:t>41</w:t>
            </w:r>
          </w:p>
        </w:tc>
        <w:tc>
          <w:tcPr>
            <w:tcW w:w="804" w:type="dxa"/>
            <w:shd w:val="clear" w:color="auto" w:fill="DBE5F1" w:themeFill="accent1" w:themeFillTint="33"/>
            <w:vAlign w:val="center"/>
          </w:tcPr>
          <w:p w14:paraId="5163E334" w14:textId="77777777" w:rsidR="001A2414" w:rsidRDefault="001A2414" w:rsidP="00B17AB2">
            <w:pPr>
              <w:spacing w:line="276" w:lineRule="auto"/>
              <w:jc w:val="center"/>
              <w:rPr>
                <w:rFonts w:ascii="Century Gothic" w:hAnsi="Century Gothic" w:cs="Arial"/>
                <w:sz w:val="20"/>
                <w:szCs w:val="20"/>
              </w:rPr>
            </w:pPr>
          </w:p>
          <w:p w14:paraId="4403A0A7" w14:textId="79767B44" w:rsidR="00352885" w:rsidRPr="00DD0B04" w:rsidRDefault="00352885" w:rsidP="00B17AB2">
            <w:pPr>
              <w:spacing w:line="276" w:lineRule="auto"/>
              <w:jc w:val="center"/>
              <w:rPr>
                <w:rFonts w:ascii="Century Gothic" w:hAnsi="Century Gothic" w:cs="Arial"/>
                <w:sz w:val="20"/>
                <w:szCs w:val="20"/>
              </w:rPr>
            </w:pPr>
            <w:r w:rsidRPr="00DD0B04">
              <w:rPr>
                <w:rFonts w:ascii="Century Gothic" w:hAnsi="Century Gothic" w:cs="Arial"/>
                <w:sz w:val="20"/>
                <w:szCs w:val="20"/>
              </w:rPr>
              <w:t>1.3</w:t>
            </w:r>
            <w:r w:rsidR="001A2414">
              <w:rPr>
                <w:rFonts w:ascii="Century Gothic" w:hAnsi="Century Gothic" w:cs="Arial"/>
                <w:sz w:val="20"/>
                <w:szCs w:val="20"/>
              </w:rPr>
              <w:t>00</w:t>
            </w:r>
          </w:p>
        </w:tc>
        <w:tc>
          <w:tcPr>
            <w:tcW w:w="881" w:type="dxa"/>
            <w:shd w:val="clear" w:color="auto" w:fill="DBE5F1" w:themeFill="accent1" w:themeFillTint="33"/>
          </w:tcPr>
          <w:p w14:paraId="76BAF8F3" w14:textId="77777777" w:rsidR="001A2414" w:rsidRDefault="001A2414" w:rsidP="00B17AB2">
            <w:pPr>
              <w:spacing w:line="276" w:lineRule="auto"/>
              <w:jc w:val="center"/>
              <w:rPr>
                <w:rFonts w:ascii="Century Gothic" w:hAnsi="Century Gothic" w:cs="Arial"/>
                <w:sz w:val="20"/>
                <w:szCs w:val="20"/>
              </w:rPr>
            </w:pPr>
          </w:p>
          <w:p w14:paraId="7491B8C6" w14:textId="2DB79424" w:rsidR="00352885" w:rsidRPr="00DD0B04" w:rsidRDefault="001A2414" w:rsidP="00B17AB2">
            <w:pPr>
              <w:spacing w:line="276" w:lineRule="auto"/>
              <w:jc w:val="center"/>
              <w:rPr>
                <w:rFonts w:ascii="Century Gothic" w:hAnsi="Century Gothic" w:cs="Arial"/>
                <w:sz w:val="20"/>
                <w:szCs w:val="20"/>
              </w:rPr>
            </w:pPr>
            <w:r>
              <w:rPr>
                <w:rFonts w:ascii="Century Gothic" w:hAnsi="Century Gothic" w:cs="Arial"/>
                <w:sz w:val="20"/>
                <w:szCs w:val="20"/>
              </w:rPr>
              <w:t>1.338</w:t>
            </w:r>
          </w:p>
        </w:tc>
      </w:tr>
      <w:tr w:rsidR="00352885" w:rsidRPr="002D6F59" w14:paraId="7E482926" w14:textId="156A8077" w:rsidTr="00304742">
        <w:trPr>
          <w:trHeight w:val="281"/>
          <w:jc w:val="center"/>
        </w:trPr>
        <w:tc>
          <w:tcPr>
            <w:tcW w:w="4365" w:type="dxa"/>
            <w:shd w:val="clear" w:color="auto" w:fill="B8CCE4" w:themeFill="accent1" w:themeFillTint="66"/>
            <w:noWrap/>
          </w:tcPr>
          <w:p w14:paraId="0D6E5222" w14:textId="03A99833" w:rsidR="00352885" w:rsidRPr="00DD0B04" w:rsidRDefault="00352885" w:rsidP="00E448FB">
            <w:pPr>
              <w:spacing w:line="276" w:lineRule="auto"/>
              <w:jc w:val="center"/>
              <w:rPr>
                <w:rFonts w:ascii="Century Gothic" w:hAnsi="Century Gothic" w:cs="Arial"/>
                <w:b/>
                <w:bCs/>
                <w:sz w:val="20"/>
                <w:szCs w:val="20"/>
              </w:rPr>
            </w:pPr>
            <w:r w:rsidRPr="00DD0B04">
              <w:rPr>
                <w:rFonts w:ascii="Century Gothic" w:hAnsi="Century Gothic" w:cs="Arial"/>
                <w:b/>
                <w:bCs/>
                <w:sz w:val="20"/>
                <w:szCs w:val="20"/>
              </w:rPr>
              <w:t>Total noticias delitos seleccionados</w:t>
            </w:r>
          </w:p>
        </w:tc>
        <w:tc>
          <w:tcPr>
            <w:tcW w:w="8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C518C4F" w14:textId="1CACA971" w:rsidR="00352885" w:rsidRPr="00DD0B04" w:rsidRDefault="001A2414" w:rsidP="00B17AB2">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19.823</w:t>
            </w:r>
          </w:p>
        </w:tc>
        <w:tc>
          <w:tcPr>
            <w:tcW w:w="875"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3F80A81D" w14:textId="6D37790D" w:rsidR="00352885" w:rsidRPr="00DD0B04" w:rsidRDefault="001A2414" w:rsidP="00B17AB2">
            <w:pPr>
              <w:spacing w:line="276" w:lineRule="auto"/>
              <w:jc w:val="center"/>
              <w:rPr>
                <w:rFonts w:ascii="Century Gothic" w:hAnsi="Century Gothic" w:cs="Arial"/>
                <w:b/>
                <w:bCs/>
                <w:sz w:val="20"/>
                <w:szCs w:val="20"/>
              </w:rPr>
            </w:pPr>
            <w:r>
              <w:rPr>
                <w:rFonts w:ascii="Century Gothic" w:hAnsi="Century Gothic" w:cs="Arial"/>
                <w:b/>
                <w:bCs/>
                <w:sz w:val="20"/>
                <w:szCs w:val="20"/>
              </w:rPr>
              <w:t>22.271</w:t>
            </w:r>
          </w:p>
        </w:tc>
        <w:tc>
          <w:tcPr>
            <w:tcW w:w="875"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45BE2C36" w14:textId="2284C0A9" w:rsidR="00352885" w:rsidRPr="00DD0B04" w:rsidRDefault="001A2414" w:rsidP="00B17AB2">
            <w:pPr>
              <w:spacing w:line="276" w:lineRule="auto"/>
              <w:jc w:val="center"/>
              <w:rPr>
                <w:rFonts w:ascii="Century Gothic" w:hAnsi="Century Gothic" w:cs="Arial"/>
                <w:b/>
                <w:bCs/>
                <w:sz w:val="20"/>
                <w:szCs w:val="20"/>
              </w:rPr>
            </w:pPr>
            <w:r>
              <w:rPr>
                <w:rFonts w:ascii="Century Gothic" w:hAnsi="Century Gothic" w:cs="Arial"/>
                <w:b/>
                <w:bCs/>
                <w:sz w:val="20"/>
                <w:szCs w:val="20"/>
              </w:rPr>
              <w:t>22.340</w:t>
            </w:r>
          </w:p>
        </w:tc>
        <w:tc>
          <w:tcPr>
            <w:tcW w:w="875"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BB2FEFE" w14:textId="118F6EBE" w:rsidR="00352885" w:rsidRPr="00DD0B04" w:rsidRDefault="001A2414" w:rsidP="00B17AB2">
            <w:pPr>
              <w:spacing w:line="276" w:lineRule="auto"/>
              <w:jc w:val="center"/>
              <w:rPr>
                <w:rFonts w:ascii="Century Gothic" w:hAnsi="Century Gothic" w:cs="Arial"/>
                <w:b/>
                <w:bCs/>
                <w:sz w:val="20"/>
                <w:szCs w:val="20"/>
              </w:rPr>
            </w:pPr>
            <w:r>
              <w:rPr>
                <w:rFonts w:ascii="Century Gothic" w:hAnsi="Century Gothic" w:cs="Arial"/>
                <w:b/>
                <w:bCs/>
                <w:sz w:val="20"/>
                <w:szCs w:val="20"/>
              </w:rPr>
              <w:t>26.698</w:t>
            </w:r>
          </w:p>
        </w:tc>
        <w:tc>
          <w:tcPr>
            <w:tcW w:w="804"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CED14EB" w14:textId="369C9D23" w:rsidR="00352885" w:rsidRPr="00DD0B04" w:rsidRDefault="001A2414" w:rsidP="00B17AB2">
            <w:pPr>
              <w:spacing w:line="276" w:lineRule="auto"/>
              <w:jc w:val="center"/>
              <w:rPr>
                <w:rFonts w:ascii="Century Gothic" w:hAnsi="Century Gothic" w:cs="Arial"/>
                <w:b/>
                <w:bCs/>
                <w:sz w:val="20"/>
                <w:szCs w:val="20"/>
              </w:rPr>
            </w:pPr>
            <w:r>
              <w:rPr>
                <w:rFonts w:ascii="Century Gothic" w:hAnsi="Century Gothic" w:cs="Arial"/>
                <w:b/>
                <w:bCs/>
                <w:sz w:val="20"/>
                <w:szCs w:val="20"/>
              </w:rPr>
              <w:t>30.062</w:t>
            </w:r>
          </w:p>
        </w:tc>
        <w:tc>
          <w:tcPr>
            <w:tcW w:w="881" w:type="dxa"/>
            <w:tcBorders>
              <w:top w:val="single" w:sz="4" w:space="0" w:color="auto"/>
              <w:left w:val="nil"/>
              <w:bottom w:val="single" w:sz="4" w:space="0" w:color="auto"/>
              <w:right w:val="single" w:sz="4" w:space="0" w:color="auto"/>
            </w:tcBorders>
            <w:shd w:val="clear" w:color="auto" w:fill="B8CCE4" w:themeFill="accent1" w:themeFillTint="66"/>
          </w:tcPr>
          <w:p w14:paraId="31CF0483" w14:textId="0007AE2C" w:rsidR="00352885" w:rsidRPr="00DD0B04" w:rsidRDefault="001A2414" w:rsidP="00B17AB2">
            <w:pPr>
              <w:spacing w:line="276" w:lineRule="auto"/>
              <w:jc w:val="center"/>
              <w:rPr>
                <w:rFonts w:ascii="Century Gothic" w:hAnsi="Century Gothic" w:cs="Arial"/>
                <w:b/>
                <w:bCs/>
                <w:sz w:val="20"/>
                <w:szCs w:val="20"/>
              </w:rPr>
            </w:pPr>
            <w:r>
              <w:rPr>
                <w:rFonts w:ascii="Century Gothic" w:hAnsi="Century Gothic" w:cs="Arial"/>
                <w:b/>
                <w:bCs/>
                <w:sz w:val="20"/>
                <w:szCs w:val="20"/>
              </w:rPr>
              <w:t>28.926</w:t>
            </w:r>
          </w:p>
        </w:tc>
      </w:tr>
    </w:tbl>
    <w:p w14:paraId="6BD89803" w14:textId="039A3B53" w:rsidR="001A2414" w:rsidRDefault="00BC121A" w:rsidP="001A2414">
      <w:pPr>
        <w:spacing w:line="276" w:lineRule="auto"/>
        <w:jc w:val="center"/>
        <w:rPr>
          <w:rFonts w:ascii="Century Gothic" w:hAnsi="Century Gothic" w:cs="Arial"/>
          <w:sz w:val="18"/>
          <w:szCs w:val="18"/>
          <w:lang w:val="es-ES"/>
        </w:rPr>
      </w:pPr>
      <w:r w:rsidRPr="002D6F59">
        <w:rPr>
          <w:rFonts w:ascii="Century Gothic" w:hAnsi="Century Gothic" w:cs="Arial"/>
          <w:sz w:val="18"/>
          <w:szCs w:val="18"/>
          <w:lang w:val="es-ES"/>
        </w:rPr>
        <w:t>Fuente: FGN – Datos a enero 10 de 20</w:t>
      </w:r>
      <w:r w:rsidR="00C82DBA">
        <w:rPr>
          <w:rFonts w:ascii="Century Gothic" w:hAnsi="Century Gothic" w:cs="Arial"/>
          <w:sz w:val="18"/>
          <w:szCs w:val="18"/>
          <w:lang w:val="es-ES"/>
        </w:rPr>
        <w:t>20</w:t>
      </w:r>
    </w:p>
    <w:p w14:paraId="6EFD93B1" w14:textId="2DAB96BA" w:rsidR="00887542" w:rsidRPr="002D6F59" w:rsidRDefault="00887542" w:rsidP="00B17AB2">
      <w:pPr>
        <w:spacing w:line="276" w:lineRule="auto"/>
        <w:jc w:val="both"/>
        <w:rPr>
          <w:rFonts w:ascii="Century Gothic" w:hAnsi="Century Gothic" w:cs="Arial"/>
          <w:sz w:val="22"/>
          <w:szCs w:val="22"/>
          <w:lang w:val="es-ES"/>
        </w:rPr>
      </w:pPr>
    </w:p>
    <w:tbl>
      <w:tblPr>
        <w:tblW w:w="9565" w:type="dxa"/>
        <w:jc w:val="center"/>
        <w:tblLayout w:type="fixed"/>
        <w:tblCellMar>
          <w:left w:w="70" w:type="dxa"/>
          <w:right w:w="70" w:type="dxa"/>
        </w:tblCellMar>
        <w:tblLook w:val="04A0" w:firstRow="1" w:lastRow="0" w:firstColumn="1" w:lastColumn="0" w:noHBand="0" w:noVBand="1"/>
      </w:tblPr>
      <w:tblGrid>
        <w:gridCol w:w="1484"/>
        <w:gridCol w:w="942"/>
        <w:gridCol w:w="943"/>
        <w:gridCol w:w="942"/>
        <w:gridCol w:w="943"/>
        <w:gridCol w:w="843"/>
        <w:gridCol w:w="844"/>
        <w:gridCol w:w="843"/>
        <w:gridCol w:w="844"/>
        <w:gridCol w:w="937"/>
      </w:tblGrid>
      <w:tr w:rsidR="00A05413" w:rsidRPr="002D6F59" w14:paraId="763DD7C3" w14:textId="77777777" w:rsidTr="00304742">
        <w:trPr>
          <w:trHeight w:val="300"/>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F3B1677" w14:textId="77777777" w:rsidR="00A05413" w:rsidRPr="00DD0B04" w:rsidRDefault="00A05413" w:rsidP="00B17AB2">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Año</w:t>
            </w:r>
          </w:p>
        </w:tc>
        <w:tc>
          <w:tcPr>
            <w:tcW w:w="7144" w:type="dxa"/>
            <w:gridSpan w:val="8"/>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14:paraId="772F5F77" w14:textId="0001E540" w:rsidR="00A05413" w:rsidRPr="00A05413" w:rsidRDefault="00A05413" w:rsidP="00B17AB2">
            <w:pPr>
              <w:spacing w:line="276" w:lineRule="auto"/>
              <w:jc w:val="center"/>
              <w:rPr>
                <w:rFonts w:ascii="Century Gothic" w:hAnsi="Century Gothic" w:cs="Arial"/>
                <w:b/>
                <w:bCs/>
                <w:sz w:val="20"/>
                <w:szCs w:val="20"/>
                <w:lang w:val="es-CO"/>
              </w:rPr>
            </w:pPr>
            <w:r w:rsidRPr="00A05413">
              <w:rPr>
                <w:rFonts w:ascii="Century Gothic" w:hAnsi="Century Gothic" w:cs="Arial"/>
                <w:b/>
                <w:sz w:val="20"/>
                <w:szCs w:val="20"/>
              </w:rPr>
              <w:t>Exámenes médico legales sexológicos por presunto delito sexual por grupos de edad y sexo de la víctima</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F6E519D" w14:textId="77777777" w:rsidR="00A05413" w:rsidRPr="00DD0B04" w:rsidRDefault="00A05413" w:rsidP="00B17AB2">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Total</w:t>
            </w:r>
          </w:p>
        </w:tc>
      </w:tr>
      <w:tr w:rsidR="00A05413" w:rsidRPr="002D6F59" w14:paraId="74A66F45" w14:textId="77777777" w:rsidTr="00304742">
        <w:trPr>
          <w:trHeight w:val="300"/>
          <w:jc w:val="center"/>
        </w:trPr>
        <w:tc>
          <w:tcPr>
            <w:tcW w:w="148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2BAD22C" w14:textId="77777777" w:rsidR="00A05413" w:rsidRPr="00DD0B04" w:rsidRDefault="00A05413" w:rsidP="00A05413">
            <w:pPr>
              <w:spacing w:line="276" w:lineRule="auto"/>
              <w:jc w:val="center"/>
              <w:rPr>
                <w:rFonts w:ascii="Century Gothic" w:hAnsi="Century Gothic" w:cs="Arial"/>
                <w:b/>
                <w:bCs/>
                <w:sz w:val="20"/>
                <w:szCs w:val="20"/>
                <w:lang w:val="es-CO"/>
              </w:rPr>
            </w:pPr>
          </w:p>
        </w:tc>
        <w:tc>
          <w:tcPr>
            <w:tcW w:w="3770"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41DAA4B" w14:textId="779FCF03"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Hombre</w:t>
            </w:r>
          </w:p>
        </w:tc>
        <w:tc>
          <w:tcPr>
            <w:tcW w:w="3374" w:type="dxa"/>
            <w:gridSpan w:val="4"/>
            <w:tcBorders>
              <w:top w:val="single" w:sz="4" w:space="0" w:color="auto"/>
              <w:left w:val="nil"/>
              <w:bottom w:val="single" w:sz="4" w:space="0" w:color="auto"/>
              <w:right w:val="single" w:sz="4" w:space="0" w:color="000000"/>
            </w:tcBorders>
            <w:shd w:val="clear" w:color="auto" w:fill="B8CCE4" w:themeFill="accent1" w:themeFillTint="66"/>
            <w:noWrap/>
            <w:vAlign w:val="center"/>
          </w:tcPr>
          <w:p w14:paraId="211ABD97" w14:textId="48D5A9BD"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Mujer</w:t>
            </w:r>
          </w:p>
        </w:tc>
        <w:tc>
          <w:tcPr>
            <w:tcW w:w="93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9E80221" w14:textId="77777777" w:rsidR="00A05413" w:rsidRPr="00DD0B04" w:rsidRDefault="00A05413" w:rsidP="00A05413">
            <w:pPr>
              <w:spacing w:line="276" w:lineRule="auto"/>
              <w:jc w:val="center"/>
              <w:rPr>
                <w:rFonts w:ascii="Century Gothic" w:hAnsi="Century Gothic" w:cs="Arial"/>
                <w:b/>
                <w:bCs/>
                <w:sz w:val="20"/>
                <w:szCs w:val="20"/>
                <w:lang w:val="es-CO"/>
              </w:rPr>
            </w:pPr>
          </w:p>
        </w:tc>
      </w:tr>
      <w:tr w:rsidR="00A05413" w:rsidRPr="002D6F59" w14:paraId="62E14816" w14:textId="77777777" w:rsidTr="00304742">
        <w:trPr>
          <w:trHeight w:val="300"/>
          <w:jc w:val="center"/>
        </w:trPr>
        <w:tc>
          <w:tcPr>
            <w:tcW w:w="148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D8B4B0D" w14:textId="77777777" w:rsidR="00A05413" w:rsidRPr="00DD0B04" w:rsidRDefault="00A05413" w:rsidP="00A05413">
            <w:pPr>
              <w:spacing w:line="276" w:lineRule="auto"/>
              <w:jc w:val="center"/>
              <w:rPr>
                <w:rFonts w:ascii="Century Gothic" w:hAnsi="Century Gothic" w:cs="Arial"/>
                <w:b/>
                <w:bCs/>
                <w:sz w:val="20"/>
                <w:szCs w:val="20"/>
                <w:lang w:val="es-CO"/>
              </w:rPr>
            </w:pPr>
          </w:p>
        </w:tc>
        <w:tc>
          <w:tcPr>
            <w:tcW w:w="942" w:type="dxa"/>
            <w:tcBorders>
              <w:top w:val="nil"/>
              <w:left w:val="nil"/>
              <w:bottom w:val="single" w:sz="4" w:space="0" w:color="auto"/>
              <w:right w:val="single" w:sz="4" w:space="0" w:color="auto"/>
            </w:tcBorders>
            <w:shd w:val="clear" w:color="auto" w:fill="B8CCE4" w:themeFill="accent1" w:themeFillTint="66"/>
            <w:noWrap/>
            <w:vAlign w:val="center"/>
            <w:hideMark/>
          </w:tcPr>
          <w:p w14:paraId="23CB0B44"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4</w:t>
            </w:r>
          </w:p>
        </w:tc>
        <w:tc>
          <w:tcPr>
            <w:tcW w:w="943" w:type="dxa"/>
            <w:tcBorders>
              <w:top w:val="nil"/>
              <w:left w:val="nil"/>
              <w:bottom w:val="single" w:sz="4" w:space="0" w:color="auto"/>
              <w:right w:val="single" w:sz="4" w:space="0" w:color="auto"/>
            </w:tcBorders>
            <w:shd w:val="clear" w:color="auto" w:fill="B8CCE4" w:themeFill="accent1" w:themeFillTint="66"/>
            <w:noWrap/>
            <w:vAlign w:val="center"/>
            <w:hideMark/>
          </w:tcPr>
          <w:p w14:paraId="3F7BE581"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9</w:t>
            </w:r>
          </w:p>
        </w:tc>
        <w:tc>
          <w:tcPr>
            <w:tcW w:w="942" w:type="dxa"/>
            <w:tcBorders>
              <w:top w:val="nil"/>
              <w:left w:val="nil"/>
              <w:bottom w:val="single" w:sz="4" w:space="0" w:color="auto"/>
              <w:right w:val="single" w:sz="4" w:space="0" w:color="auto"/>
            </w:tcBorders>
            <w:shd w:val="clear" w:color="auto" w:fill="B8CCE4" w:themeFill="accent1" w:themeFillTint="66"/>
            <w:noWrap/>
            <w:vAlign w:val="center"/>
            <w:hideMark/>
          </w:tcPr>
          <w:p w14:paraId="0F204961"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10 a 14</w:t>
            </w:r>
          </w:p>
        </w:tc>
        <w:tc>
          <w:tcPr>
            <w:tcW w:w="943" w:type="dxa"/>
            <w:tcBorders>
              <w:top w:val="nil"/>
              <w:left w:val="nil"/>
              <w:bottom w:val="single" w:sz="4" w:space="0" w:color="auto"/>
              <w:right w:val="single" w:sz="4" w:space="0" w:color="auto"/>
            </w:tcBorders>
            <w:shd w:val="clear" w:color="auto" w:fill="B8CCE4" w:themeFill="accent1" w:themeFillTint="66"/>
            <w:noWrap/>
            <w:vAlign w:val="center"/>
            <w:hideMark/>
          </w:tcPr>
          <w:p w14:paraId="64ABB49A"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15 a 17</w:t>
            </w:r>
          </w:p>
        </w:tc>
        <w:tc>
          <w:tcPr>
            <w:tcW w:w="843" w:type="dxa"/>
            <w:tcBorders>
              <w:top w:val="nil"/>
              <w:left w:val="nil"/>
              <w:bottom w:val="single" w:sz="4" w:space="0" w:color="auto"/>
              <w:right w:val="single" w:sz="4" w:space="0" w:color="auto"/>
            </w:tcBorders>
            <w:shd w:val="clear" w:color="auto" w:fill="B8CCE4" w:themeFill="accent1" w:themeFillTint="66"/>
            <w:noWrap/>
            <w:vAlign w:val="center"/>
            <w:hideMark/>
          </w:tcPr>
          <w:p w14:paraId="2A3C51C9"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4</w:t>
            </w:r>
          </w:p>
        </w:tc>
        <w:tc>
          <w:tcPr>
            <w:tcW w:w="844" w:type="dxa"/>
            <w:tcBorders>
              <w:top w:val="nil"/>
              <w:left w:val="nil"/>
              <w:bottom w:val="single" w:sz="4" w:space="0" w:color="auto"/>
              <w:right w:val="single" w:sz="4" w:space="0" w:color="auto"/>
            </w:tcBorders>
            <w:shd w:val="clear" w:color="auto" w:fill="B8CCE4" w:themeFill="accent1" w:themeFillTint="66"/>
            <w:noWrap/>
            <w:vAlign w:val="center"/>
            <w:hideMark/>
          </w:tcPr>
          <w:p w14:paraId="671A5DB0"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0 a 9</w:t>
            </w:r>
          </w:p>
        </w:tc>
        <w:tc>
          <w:tcPr>
            <w:tcW w:w="843" w:type="dxa"/>
            <w:tcBorders>
              <w:top w:val="nil"/>
              <w:left w:val="nil"/>
              <w:bottom w:val="single" w:sz="4" w:space="0" w:color="auto"/>
              <w:right w:val="single" w:sz="4" w:space="0" w:color="auto"/>
            </w:tcBorders>
            <w:shd w:val="clear" w:color="auto" w:fill="B8CCE4" w:themeFill="accent1" w:themeFillTint="66"/>
            <w:noWrap/>
            <w:vAlign w:val="center"/>
            <w:hideMark/>
          </w:tcPr>
          <w:p w14:paraId="798928B0"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10 a 14</w:t>
            </w:r>
          </w:p>
        </w:tc>
        <w:tc>
          <w:tcPr>
            <w:tcW w:w="844" w:type="dxa"/>
            <w:tcBorders>
              <w:top w:val="nil"/>
              <w:left w:val="nil"/>
              <w:bottom w:val="single" w:sz="4" w:space="0" w:color="auto"/>
              <w:right w:val="single" w:sz="4" w:space="0" w:color="auto"/>
            </w:tcBorders>
            <w:shd w:val="clear" w:color="auto" w:fill="B8CCE4" w:themeFill="accent1" w:themeFillTint="66"/>
            <w:noWrap/>
            <w:vAlign w:val="center"/>
            <w:hideMark/>
          </w:tcPr>
          <w:p w14:paraId="1DEADC87" w14:textId="77777777"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15 a 17</w:t>
            </w:r>
          </w:p>
        </w:tc>
        <w:tc>
          <w:tcPr>
            <w:tcW w:w="93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1AF2CB" w14:textId="77777777" w:rsidR="00A05413" w:rsidRPr="00DD0B04" w:rsidRDefault="00A05413" w:rsidP="00A05413">
            <w:pPr>
              <w:spacing w:line="276" w:lineRule="auto"/>
              <w:jc w:val="center"/>
              <w:rPr>
                <w:rFonts w:ascii="Century Gothic" w:hAnsi="Century Gothic" w:cs="Arial"/>
                <w:b/>
                <w:bCs/>
                <w:sz w:val="20"/>
                <w:szCs w:val="20"/>
                <w:lang w:val="es-CO"/>
              </w:rPr>
            </w:pPr>
          </w:p>
        </w:tc>
      </w:tr>
      <w:tr w:rsidR="00A05413" w:rsidRPr="002D6F59" w14:paraId="66E8F4A5"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79754DF"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2014</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039FE9E6" w14:textId="59B7444C"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553</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28DCCBD6" w14:textId="05EA5C43"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1.237</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39849BD2" w14:textId="243F680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871</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2F5AA147" w14:textId="3FA547C8"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238</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42EA0067" w14:textId="492A03EA"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1.756</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261E4091" w14:textId="4E53532C"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3.902</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19FC9A6" w14:textId="45791F88"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7.427</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1A07D061" w14:textId="7C1B1D3F"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2.132</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38D1E272" w14:textId="60B2CA76"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18.116</w:t>
            </w:r>
          </w:p>
        </w:tc>
      </w:tr>
      <w:tr w:rsidR="00A05413" w:rsidRPr="002D6F59" w14:paraId="30C022B3"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11FE57DA"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2015</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657D0DFA" w14:textId="21D4B231"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597</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098E0A1D" w14:textId="529BBD3F"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1.269</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2926A94B" w14:textId="1B4D3566"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954</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4B3962E9" w14:textId="1A0B32B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245</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394551D" w14:textId="58E0AFE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2.011</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1C923CE3" w14:textId="252F0E61"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4.162</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313693FA" w14:textId="63D4DEC4"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7.648</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15D7AA8D" w14:textId="6D6A120F"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2.295</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0DB696B4" w14:textId="54578E8F"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19.181</w:t>
            </w:r>
          </w:p>
        </w:tc>
      </w:tr>
      <w:tr w:rsidR="00A05413" w:rsidRPr="002D6F59" w14:paraId="03C6BFDC"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5600066A"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2016</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5A030518" w14:textId="5BAF00B3"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563</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40E75BD6" w14:textId="0E8BCF89"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1.183</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06BAECB9" w14:textId="7A0A527A"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725</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4C182FBA" w14:textId="3879545D"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421</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56EBC717" w14:textId="001471CE"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1.810</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2E419300" w14:textId="6A34B929"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3.795</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24B13215" w14:textId="1F1B8727"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6.188</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3CDB0341" w14:textId="2D7ADF3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3.731</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3918B439" w14:textId="42389712"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18.416</w:t>
            </w:r>
          </w:p>
        </w:tc>
      </w:tr>
      <w:tr w:rsidR="00A05413" w:rsidRPr="002D6F59" w14:paraId="6E8C8DA6"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ABB0388" w14:textId="77777777" w:rsidR="00A05413" w:rsidRPr="00DD0B04" w:rsidRDefault="00A05413" w:rsidP="00A05413">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2017</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7383637A" w14:textId="2F38F17A"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599</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128C2EE4" w14:textId="01278889"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1.211</w:t>
            </w:r>
          </w:p>
        </w:tc>
        <w:tc>
          <w:tcPr>
            <w:tcW w:w="942" w:type="dxa"/>
            <w:tcBorders>
              <w:top w:val="nil"/>
              <w:left w:val="nil"/>
              <w:bottom w:val="single" w:sz="4" w:space="0" w:color="auto"/>
              <w:right w:val="single" w:sz="4" w:space="0" w:color="auto"/>
            </w:tcBorders>
            <w:shd w:val="clear" w:color="auto" w:fill="DBE5F1" w:themeFill="accent1" w:themeFillTint="33"/>
            <w:noWrap/>
            <w:vAlign w:val="bottom"/>
            <w:hideMark/>
          </w:tcPr>
          <w:p w14:paraId="26EFA623" w14:textId="751A3105"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859</w:t>
            </w:r>
          </w:p>
        </w:tc>
        <w:tc>
          <w:tcPr>
            <w:tcW w:w="943" w:type="dxa"/>
            <w:tcBorders>
              <w:top w:val="nil"/>
              <w:left w:val="nil"/>
              <w:bottom w:val="single" w:sz="4" w:space="0" w:color="auto"/>
              <w:right w:val="single" w:sz="4" w:space="0" w:color="auto"/>
            </w:tcBorders>
            <w:shd w:val="clear" w:color="auto" w:fill="DBE5F1" w:themeFill="accent1" w:themeFillTint="33"/>
            <w:noWrap/>
            <w:vAlign w:val="bottom"/>
            <w:hideMark/>
          </w:tcPr>
          <w:p w14:paraId="52C5673A" w14:textId="516C1D6D"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437</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A160617" w14:textId="2CC9892E"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2.049</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39F4A162" w14:textId="07379430"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4.362</w:t>
            </w:r>
          </w:p>
        </w:tc>
        <w:tc>
          <w:tcPr>
            <w:tcW w:w="843" w:type="dxa"/>
            <w:tcBorders>
              <w:top w:val="nil"/>
              <w:left w:val="nil"/>
              <w:bottom w:val="single" w:sz="4" w:space="0" w:color="auto"/>
              <w:right w:val="single" w:sz="4" w:space="0" w:color="auto"/>
            </w:tcBorders>
            <w:shd w:val="clear" w:color="auto" w:fill="DBE5F1" w:themeFill="accent1" w:themeFillTint="33"/>
            <w:noWrap/>
            <w:vAlign w:val="bottom"/>
            <w:hideMark/>
          </w:tcPr>
          <w:p w14:paraId="78DFFE58" w14:textId="04D2830E"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7.018</w:t>
            </w:r>
          </w:p>
        </w:tc>
        <w:tc>
          <w:tcPr>
            <w:tcW w:w="844" w:type="dxa"/>
            <w:tcBorders>
              <w:top w:val="nil"/>
              <w:left w:val="nil"/>
              <w:bottom w:val="single" w:sz="4" w:space="0" w:color="auto"/>
              <w:right w:val="single" w:sz="4" w:space="0" w:color="auto"/>
            </w:tcBorders>
            <w:shd w:val="clear" w:color="auto" w:fill="DBE5F1" w:themeFill="accent1" w:themeFillTint="33"/>
            <w:noWrap/>
            <w:vAlign w:val="bottom"/>
            <w:hideMark/>
          </w:tcPr>
          <w:p w14:paraId="442D7CB1" w14:textId="10CAB402" w:rsidR="00A05413" w:rsidRPr="00DD0B04" w:rsidRDefault="00A05413" w:rsidP="00A05413">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4.128</w:t>
            </w:r>
          </w:p>
        </w:tc>
        <w:tc>
          <w:tcPr>
            <w:tcW w:w="937" w:type="dxa"/>
            <w:tcBorders>
              <w:top w:val="nil"/>
              <w:left w:val="nil"/>
              <w:bottom w:val="single" w:sz="4" w:space="0" w:color="auto"/>
              <w:right w:val="single" w:sz="4" w:space="0" w:color="auto"/>
            </w:tcBorders>
            <w:shd w:val="clear" w:color="auto" w:fill="B8CCE4" w:themeFill="accent1" w:themeFillTint="66"/>
            <w:noWrap/>
            <w:vAlign w:val="bottom"/>
            <w:hideMark/>
          </w:tcPr>
          <w:p w14:paraId="20155C8F" w14:textId="7F79E951" w:rsidR="00A05413" w:rsidRPr="00DD0B04" w:rsidRDefault="00A05413" w:rsidP="00A05413">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20.663</w:t>
            </w:r>
          </w:p>
        </w:tc>
      </w:tr>
      <w:tr w:rsidR="008908DC" w:rsidRPr="002D6F59" w14:paraId="5EFF9317"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7E37C8BB" w14:textId="3A276FF0" w:rsidR="008908DC" w:rsidRPr="00DD0B04" w:rsidRDefault="008908DC" w:rsidP="008908DC">
            <w:pPr>
              <w:spacing w:line="276" w:lineRule="auto"/>
              <w:jc w:val="center"/>
              <w:rPr>
                <w:rFonts w:ascii="Century Gothic" w:hAnsi="Century Gothic" w:cs="Arial"/>
                <w:b/>
                <w:sz w:val="20"/>
                <w:szCs w:val="20"/>
                <w:lang w:val="es-CO"/>
              </w:rPr>
            </w:pPr>
            <w:r w:rsidRPr="00DD0B04">
              <w:rPr>
                <w:rFonts w:ascii="Century Gothic" w:hAnsi="Century Gothic" w:cs="Arial"/>
                <w:b/>
                <w:sz w:val="20"/>
                <w:szCs w:val="20"/>
                <w:lang w:val="es-CO"/>
              </w:rPr>
              <w:t>2018</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3D1CBC86" w14:textId="276D05A8"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645</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12792DA2" w14:textId="1C7EBD46"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1.370</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4DD8683B" w14:textId="452FE598"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1.108</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02238B1C" w14:textId="5987D6C7"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343</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289C6553" w14:textId="4B4772F9"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2.275</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12E7E4D1" w14:textId="0F129CC4"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5.045</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6541F13A" w14:textId="5814CAAB"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9.350</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2DD02CF7" w14:textId="30AFD631" w:rsidR="008908DC" w:rsidRPr="00DD0B04" w:rsidRDefault="008908DC" w:rsidP="008908DC">
            <w:pPr>
              <w:spacing w:line="276" w:lineRule="auto"/>
              <w:jc w:val="center"/>
              <w:rPr>
                <w:rFonts w:ascii="Century Gothic" w:hAnsi="Century Gothic" w:cs="Arial"/>
                <w:sz w:val="20"/>
                <w:szCs w:val="20"/>
                <w:lang w:val="es-CO"/>
              </w:rPr>
            </w:pPr>
            <w:r w:rsidRPr="00DD0B04">
              <w:rPr>
                <w:rFonts w:ascii="Century Gothic" w:hAnsi="Century Gothic" w:cs="Arial"/>
                <w:sz w:val="20"/>
                <w:szCs w:val="20"/>
                <w:lang w:val="es-CO"/>
              </w:rPr>
              <w:t>2.658</w:t>
            </w:r>
          </w:p>
        </w:tc>
        <w:tc>
          <w:tcPr>
            <w:tcW w:w="937" w:type="dxa"/>
            <w:tcBorders>
              <w:top w:val="nil"/>
              <w:left w:val="nil"/>
              <w:bottom w:val="single" w:sz="4" w:space="0" w:color="auto"/>
              <w:right w:val="single" w:sz="4" w:space="0" w:color="auto"/>
            </w:tcBorders>
            <w:shd w:val="clear" w:color="auto" w:fill="B8CCE4" w:themeFill="accent1" w:themeFillTint="66"/>
            <w:noWrap/>
            <w:vAlign w:val="bottom"/>
          </w:tcPr>
          <w:p w14:paraId="2659D2FA" w14:textId="64B8E7FF" w:rsidR="008908DC" w:rsidRPr="00DD0B04" w:rsidRDefault="008908DC" w:rsidP="008908DC">
            <w:pPr>
              <w:spacing w:line="276" w:lineRule="auto"/>
              <w:jc w:val="center"/>
              <w:rPr>
                <w:rFonts w:ascii="Century Gothic" w:hAnsi="Century Gothic" w:cs="Arial"/>
                <w:b/>
                <w:bCs/>
                <w:sz w:val="20"/>
                <w:szCs w:val="20"/>
                <w:lang w:val="es-CO"/>
              </w:rPr>
            </w:pPr>
            <w:r w:rsidRPr="00DD0B04">
              <w:rPr>
                <w:rFonts w:ascii="Century Gothic" w:hAnsi="Century Gothic" w:cs="Arial"/>
                <w:b/>
                <w:bCs/>
                <w:sz w:val="20"/>
                <w:szCs w:val="20"/>
                <w:lang w:val="es-CO"/>
              </w:rPr>
              <w:t>22.794</w:t>
            </w:r>
          </w:p>
        </w:tc>
      </w:tr>
      <w:tr w:rsidR="008908DC" w:rsidRPr="002D6F59" w14:paraId="1DB20B89" w14:textId="77777777" w:rsidTr="00304742">
        <w:trPr>
          <w:trHeight w:val="300"/>
          <w:jc w:val="center"/>
        </w:trPr>
        <w:tc>
          <w:tcPr>
            <w:tcW w:w="148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2122FFE2" w14:textId="11628942" w:rsidR="008908DC" w:rsidRPr="00DD0B04" w:rsidRDefault="00606A1D" w:rsidP="008908DC">
            <w:pPr>
              <w:spacing w:line="276" w:lineRule="auto"/>
              <w:jc w:val="center"/>
              <w:rPr>
                <w:rFonts w:ascii="Century Gothic" w:hAnsi="Century Gothic" w:cs="Arial"/>
                <w:b/>
                <w:sz w:val="20"/>
                <w:szCs w:val="20"/>
                <w:lang w:val="es-CO"/>
              </w:rPr>
            </w:pPr>
            <w:r>
              <w:rPr>
                <w:rFonts w:ascii="Century Gothic" w:hAnsi="Century Gothic" w:cs="Arial"/>
                <w:b/>
                <w:sz w:val="20"/>
                <w:szCs w:val="20"/>
                <w:lang w:val="es-CO"/>
              </w:rPr>
              <w:t>2019</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56BF4E34" w14:textId="67EB6FF0"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627</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0427F736" w14:textId="737AB743"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1.283</w:t>
            </w:r>
          </w:p>
        </w:tc>
        <w:tc>
          <w:tcPr>
            <w:tcW w:w="942" w:type="dxa"/>
            <w:tcBorders>
              <w:top w:val="nil"/>
              <w:left w:val="nil"/>
              <w:bottom w:val="single" w:sz="4" w:space="0" w:color="auto"/>
              <w:right w:val="single" w:sz="4" w:space="0" w:color="auto"/>
            </w:tcBorders>
            <w:shd w:val="clear" w:color="auto" w:fill="DBE5F1" w:themeFill="accent1" w:themeFillTint="33"/>
            <w:noWrap/>
            <w:vAlign w:val="bottom"/>
          </w:tcPr>
          <w:p w14:paraId="0C438FB0" w14:textId="1820048C"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1.079</w:t>
            </w:r>
          </w:p>
        </w:tc>
        <w:tc>
          <w:tcPr>
            <w:tcW w:w="943" w:type="dxa"/>
            <w:tcBorders>
              <w:top w:val="nil"/>
              <w:left w:val="nil"/>
              <w:bottom w:val="single" w:sz="4" w:space="0" w:color="auto"/>
              <w:right w:val="single" w:sz="4" w:space="0" w:color="auto"/>
            </w:tcBorders>
            <w:shd w:val="clear" w:color="auto" w:fill="DBE5F1" w:themeFill="accent1" w:themeFillTint="33"/>
            <w:noWrap/>
            <w:vAlign w:val="bottom"/>
          </w:tcPr>
          <w:p w14:paraId="16EC07D7" w14:textId="383EF96D"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295</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77F57FB8" w14:textId="00317614"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2.117</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2031B406" w14:textId="301F2B9D"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4.917</w:t>
            </w:r>
          </w:p>
        </w:tc>
        <w:tc>
          <w:tcPr>
            <w:tcW w:w="843" w:type="dxa"/>
            <w:tcBorders>
              <w:top w:val="nil"/>
              <w:left w:val="nil"/>
              <w:bottom w:val="single" w:sz="4" w:space="0" w:color="auto"/>
              <w:right w:val="single" w:sz="4" w:space="0" w:color="auto"/>
            </w:tcBorders>
            <w:shd w:val="clear" w:color="auto" w:fill="DBE5F1" w:themeFill="accent1" w:themeFillTint="33"/>
            <w:noWrap/>
            <w:vAlign w:val="bottom"/>
          </w:tcPr>
          <w:p w14:paraId="2DD41F86" w14:textId="57E7DAED"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9.166</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14:paraId="3DCA2D40" w14:textId="419171DC" w:rsidR="008908DC" w:rsidRPr="00DD0B04" w:rsidRDefault="00606A1D" w:rsidP="008908DC">
            <w:pPr>
              <w:spacing w:line="276" w:lineRule="auto"/>
              <w:jc w:val="center"/>
              <w:rPr>
                <w:rFonts w:ascii="Century Gothic" w:hAnsi="Century Gothic" w:cs="Arial"/>
                <w:sz w:val="20"/>
                <w:szCs w:val="20"/>
                <w:lang w:val="es-CO"/>
              </w:rPr>
            </w:pPr>
            <w:r>
              <w:rPr>
                <w:rFonts w:ascii="Century Gothic" w:hAnsi="Century Gothic" w:cs="Arial"/>
                <w:sz w:val="20"/>
                <w:szCs w:val="20"/>
                <w:lang w:val="es-CO"/>
              </w:rPr>
              <w:t>2.727</w:t>
            </w:r>
          </w:p>
        </w:tc>
        <w:tc>
          <w:tcPr>
            <w:tcW w:w="937" w:type="dxa"/>
            <w:tcBorders>
              <w:top w:val="nil"/>
              <w:left w:val="nil"/>
              <w:bottom w:val="single" w:sz="4" w:space="0" w:color="auto"/>
              <w:right w:val="single" w:sz="4" w:space="0" w:color="auto"/>
            </w:tcBorders>
            <w:shd w:val="clear" w:color="auto" w:fill="B8CCE4" w:themeFill="accent1" w:themeFillTint="66"/>
            <w:noWrap/>
            <w:vAlign w:val="bottom"/>
          </w:tcPr>
          <w:p w14:paraId="1036B45D" w14:textId="0700BF7C" w:rsidR="008908DC" w:rsidRPr="00DD0B04" w:rsidRDefault="00606A1D" w:rsidP="008908DC">
            <w:pPr>
              <w:spacing w:line="276" w:lineRule="auto"/>
              <w:jc w:val="center"/>
              <w:rPr>
                <w:rFonts w:ascii="Century Gothic" w:hAnsi="Century Gothic" w:cs="Arial"/>
                <w:b/>
                <w:bCs/>
                <w:sz w:val="20"/>
                <w:szCs w:val="20"/>
                <w:lang w:val="es-CO"/>
              </w:rPr>
            </w:pPr>
            <w:r>
              <w:rPr>
                <w:rFonts w:ascii="Century Gothic" w:hAnsi="Century Gothic" w:cs="Arial"/>
                <w:b/>
                <w:bCs/>
                <w:sz w:val="20"/>
                <w:szCs w:val="20"/>
                <w:lang w:val="es-CO"/>
              </w:rPr>
              <w:t>22.211</w:t>
            </w:r>
          </w:p>
        </w:tc>
      </w:tr>
    </w:tbl>
    <w:p w14:paraId="5C8A9377" w14:textId="63C482FE" w:rsidR="00BC121A" w:rsidRPr="00DD0B04" w:rsidRDefault="00BC121A" w:rsidP="00A05413">
      <w:pPr>
        <w:spacing w:line="276" w:lineRule="auto"/>
        <w:jc w:val="center"/>
        <w:rPr>
          <w:rFonts w:ascii="Century Gothic" w:hAnsi="Century Gothic" w:cs="Arial"/>
          <w:sz w:val="18"/>
          <w:szCs w:val="18"/>
        </w:rPr>
      </w:pPr>
      <w:r w:rsidRPr="002D6F59">
        <w:rPr>
          <w:rFonts w:ascii="Century Gothic" w:hAnsi="Century Gothic" w:cs="Arial"/>
          <w:sz w:val="18"/>
          <w:szCs w:val="18"/>
        </w:rPr>
        <w:t>Fuente: Instituto Nacional de Medicina Le</w:t>
      </w:r>
      <w:r w:rsidR="00DD0B04">
        <w:rPr>
          <w:rFonts w:ascii="Century Gothic" w:hAnsi="Century Gothic" w:cs="Arial"/>
          <w:sz w:val="18"/>
          <w:szCs w:val="18"/>
        </w:rPr>
        <w:t>gal y Ciencias Forenses – INMLC</w:t>
      </w:r>
    </w:p>
    <w:p w14:paraId="74E6312B" w14:textId="044A331B" w:rsidR="00A05413" w:rsidRDefault="00A05413" w:rsidP="00B17AB2">
      <w:pPr>
        <w:spacing w:line="276" w:lineRule="auto"/>
        <w:jc w:val="both"/>
        <w:rPr>
          <w:rFonts w:ascii="Century Gothic" w:hAnsi="Century Gothic" w:cs="Arial"/>
        </w:rPr>
      </w:pPr>
    </w:p>
    <w:p w14:paraId="4B48256E" w14:textId="04E233B4"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De las anteriores cifras se puede concluir que existe una tendencia al alza en los delitos sexuales en los que las víctimas son menores de edad, razón por la cual resulta necesario tomar medidas que protejan a los niños, niñas, y adolescentes del país. Desde luego, estas medidas abarcan diferentes ámbitos, como por ejemplo el mejoramiento de l</w:t>
      </w:r>
      <w:r w:rsidR="00887542" w:rsidRPr="002D6F59">
        <w:rPr>
          <w:rFonts w:ascii="Century Gothic" w:hAnsi="Century Gothic" w:cs="Arial"/>
        </w:rPr>
        <w:t>as capacidades investigativas, e</w:t>
      </w:r>
      <w:r w:rsidRPr="002D6F59">
        <w:rPr>
          <w:rFonts w:ascii="Century Gothic" w:hAnsi="Century Gothic" w:cs="Arial"/>
        </w:rPr>
        <w:t xml:space="preserve">l aumento </w:t>
      </w:r>
      <w:r w:rsidR="002442EA" w:rsidRPr="002D6F59">
        <w:rPr>
          <w:rFonts w:ascii="Century Gothic" w:hAnsi="Century Gothic" w:cs="Arial"/>
        </w:rPr>
        <w:t>de la</w:t>
      </w:r>
      <w:r w:rsidRPr="002D6F59">
        <w:rPr>
          <w:rFonts w:ascii="Century Gothic" w:hAnsi="Century Gothic" w:cs="Arial"/>
        </w:rPr>
        <w:t xml:space="preserve"> ef</w:t>
      </w:r>
      <w:r w:rsidR="00887542" w:rsidRPr="002D6F59">
        <w:rPr>
          <w:rFonts w:ascii="Century Gothic" w:hAnsi="Century Gothic" w:cs="Arial"/>
        </w:rPr>
        <w:t xml:space="preserve">icacia del sistema de justicia y la </w:t>
      </w:r>
      <w:r w:rsidRPr="002D6F59">
        <w:rPr>
          <w:rFonts w:ascii="Century Gothic" w:hAnsi="Century Gothic" w:cs="Arial"/>
        </w:rPr>
        <w:t xml:space="preserve">educación respecto a la protección de los bienes jurídicos de los menores, etc. Entre estas y muchas medidas, se considera necesario el aumento de la capacidad punitiva del Estado, tanto como herramienta disuasoria para la sociedad, así como también al </w:t>
      </w:r>
      <w:r w:rsidR="002442EA" w:rsidRPr="002D6F59">
        <w:rPr>
          <w:rFonts w:ascii="Century Gothic" w:hAnsi="Century Gothic" w:cs="Arial"/>
        </w:rPr>
        <w:t>ser mecanismo</w:t>
      </w:r>
      <w:r w:rsidRPr="002D6F59">
        <w:rPr>
          <w:rFonts w:ascii="Century Gothic" w:hAnsi="Century Gothic" w:cs="Arial"/>
        </w:rPr>
        <w:t xml:space="preserve"> qué evita la reincidencia en estos delitos.</w:t>
      </w:r>
    </w:p>
    <w:p w14:paraId="1DAA525E" w14:textId="2C572C85" w:rsidR="009C0307" w:rsidRPr="002D6F59" w:rsidRDefault="00B17AB2" w:rsidP="00B17AB2">
      <w:pPr>
        <w:spacing w:line="276" w:lineRule="auto"/>
        <w:jc w:val="both"/>
        <w:rPr>
          <w:rFonts w:ascii="Century Gothic" w:eastAsia="Calibri" w:hAnsi="Century Gothic" w:cs="Arial"/>
          <w:lang w:val="es-CO" w:eastAsia="en-US"/>
        </w:rPr>
      </w:pPr>
      <w:r w:rsidRPr="002D6F59">
        <w:rPr>
          <w:rFonts w:ascii="Century Gothic" w:eastAsia="Calibri" w:hAnsi="Century Gothic" w:cs="Arial"/>
          <w:lang w:val="es-CO" w:eastAsia="en-US"/>
        </w:rPr>
        <w:lastRenderedPageBreak/>
        <w:t>Otro de los flagelos que afecta</w:t>
      </w:r>
      <w:r w:rsidR="009C0307" w:rsidRPr="002D6F59">
        <w:rPr>
          <w:rFonts w:ascii="Century Gothic" w:eastAsia="Calibri" w:hAnsi="Century Gothic" w:cs="Arial"/>
          <w:lang w:val="es-CO" w:eastAsia="en-US"/>
        </w:rPr>
        <w:t xml:space="preserve"> a los niños, niñas y adolescentes es el homicidio, conducta que para el año 201</w:t>
      </w:r>
      <w:r w:rsidR="00780A9A">
        <w:rPr>
          <w:rFonts w:ascii="Century Gothic" w:eastAsia="Calibri" w:hAnsi="Century Gothic" w:cs="Arial"/>
          <w:lang w:val="es-CO" w:eastAsia="en-US"/>
        </w:rPr>
        <w:t>8</w:t>
      </w:r>
      <w:r w:rsidR="009C0307" w:rsidRPr="002D6F59">
        <w:rPr>
          <w:rFonts w:ascii="Century Gothic" w:eastAsia="Calibri" w:hAnsi="Century Gothic" w:cs="Arial"/>
          <w:lang w:val="es-CO" w:eastAsia="en-US"/>
        </w:rPr>
        <w:t xml:space="preserve">, según el </w:t>
      </w:r>
      <w:r w:rsidR="009C0307" w:rsidRPr="002D6F59">
        <w:rPr>
          <w:rFonts w:ascii="Century Gothic" w:hAnsi="Century Gothic" w:cs="Arial"/>
        </w:rPr>
        <w:t xml:space="preserve">Instituto Nacional de Medicina Legal y Ciencias Forenses, se presentó en </w:t>
      </w:r>
      <w:r w:rsidR="00B54957">
        <w:rPr>
          <w:rFonts w:ascii="Century Gothic" w:eastAsia="Calibri" w:hAnsi="Century Gothic" w:cs="Arial"/>
          <w:b/>
          <w:lang w:val="es-CO" w:eastAsia="en-US"/>
        </w:rPr>
        <w:t>673</w:t>
      </w:r>
      <w:r w:rsidR="009C0307" w:rsidRPr="002D6F59">
        <w:rPr>
          <w:rFonts w:ascii="Century Gothic" w:eastAsia="Calibri" w:hAnsi="Century Gothic" w:cs="Arial"/>
          <w:b/>
          <w:lang w:val="es-CO" w:eastAsia="en-US"/>
        </w:rPr>
        <w:t xml:space="preserve"> casos</w:t>
      </w:r>
      <w:r w:rsidR="00B54957">
        <w:rPr>
          <w:rFonts w:ascii="Century Gothic" w:eastAsia="Calibri" w:hAnsi="Century Gothic" w:cs="Arial"/>
          <w:lang w:val="es-CO" w:eastAsia="en-US"/>
        </w:rPr>
        <w:t>, de los cuales 570</w:t>
      </w:r>
      <w:r w:rsidR="009C0307" w:rsidRPr="002D6F59">
        <w:rPr>
          <w:rFonts w:ascii="Century Gothic" w:eastAsia="Calibri" w:hAnsi="Century Gothic" w:cs="Arial"/>
          <w:lang w:val="es-CO" w:eastAsia="en-US"/>
        </w:rPr>
        <w:t xml:space="preserve"> corresp</w:t>
      </w:r>
      <w:r w:rsidR="00B54957">
        <w:rPr>
          <w:rFonts w:ascii="Century Gothic" w:eastAsia="Calibri" w:hAnsi="Century Gothic" w:cs="Arial"/>
          <w:lang w:val="es-CO" w:eastAsia="en-US"/>
        </w:rPr>
        <w:t>ondieron al sexo masculino y 103</w:t>
      </w:r>
      <w:r w:rsidR="009C0307" w:rsidRPr="002D6F59">
        <w:rPr>
          <w:rFonts w:ascii="Century Gothic" w:eastAsia="Calibri" w:hAnsi="Century Gothic" w:cs="Arial"/>
          <w:lang w:val="es-CO" w:eastAsia="en-US"/>
        </w:rPr>
        <w:t xml:space="preserve"> al sexo femenino</w:t>
      </w:r>
      <w:r w:rsidR="00640E58">
        <w:rPr>
          <w:rFonts w:ascii="Century Gothic" w:eastAsia="Calibri" w:hAnsi="Century Gothic" w:cs="Arial"/>
          <w:lang w:val="es-CO" w:eastAsia="en-US"/>
        </w:rPr>
        <w:t xml:space="preserve">, </w:t>
      </w:r>
      <w:r w:rsidR="00640E58" w:rsidRPr="00640E58">
        <w:rPr>
          <w:rFonts w:ascii="Century Gothic" w:eastAsia="Calibri" w:hAnsi="Century Gothic" w:cs="Arial"/>
          <w:lang w:eastAsia="en-US"/>
        </w:rPr>
        <w:t>aumentándose</w:t>
      </w:r>
      <w:r w:rsidR="00640E58" w:rsidRPr="00640E58">
        <w:rPr>
          <w:rFonts w:ascii="Century Gothic" w:eastAsia="Calibri" w:hAnsi="Century Gothic" w:cs="Arial"/>
          <w:lang w:val="es-ES_tradnl" w:eastAsia="en-US"/>
        </w:rPr>
        <w:t xml:space="preserve"> esta cifra para la</w:t>
      </w:r>
      <w:r w:rsidR="00640E58" w:rsidRPr="00640E58">
        <w:rPr>
          <w:rFonts w:ascii="Century Gothic" w:eastAsia="Calibri" w:hAnsi="Century Gothic" w:cs="Arial"/>
          <w:b/>
          <w:lang w:val="es-ES_tradnl" w:eastAsia="en-US"/>
        </w:rPr>
        <w:t xml:space="preserve"> vigencia 2019 </w:t>
      </w:r>
      <w:r w:rsidR="00640E58">
        <w:rPr>
          <w:rFonts w:ascii="Century Gothic" w:eastAsia="Calibri" w:hAnsi="Century Gothic" w:cs="Arial"/>
          <w:b/>
          <w:lang w:eastAsia="en-US"/>
        </w:rPr>
        <w:t xml:space="preserve">(708) </w:t>
      </w:r>
      <w:r w:rsidR="00640E58" w:rsidRPr="00640E58">
        <w:rPr>
          <w:rFonts w:ascii="Century Gothic" w:eastAsia="Calibri" w:hAnsi="Century Gothic" w:cs="Arial"/>
          <w:b/>
          <w:lang w:val="es-ES_tradnl" w:eastAsia="en-US"/>
        </w:rPr>
        <w:t>en un 5.2%</w:t>
      </w:r>
      <w:r w:rsidR="00640E58">
        <w:rPr>
          <w:rFonts w:ascii="Century Gothic" w:eastAsia="Calibri" w:hAnsi="Century Gothic" w:cs="Arial"/>
          <w:lang w:val="es-CO" w:eastAsia="en-US"/>
        </w:rPr>
        <w:t>, es decir, 35 casos más:</w:t>
      </w:r>
    </w:p>
    <w:p w14:paraId="2A269CB1" w14:textId="77777777" w:rsidR="009C0307" w:rsidRPr="002D6F59" w:rsidRDefault="009C0307" w:rsidP="00A4664D">
      <w:pPr>
        <w:jc w:val="both"/>
        <w:rPr>
          <w:rFonts w:ascii="Century Gothic" w:eastAsia="Calibri" w:hAnsi="Century Gothic" w:cs="Arial"/>
          <w:lang w:val="es-CO" w:eastAsia="en-US"/>
        </w:rPr>
      </w:pPr>
    </w:p>
    <w:tbl>
      <w:tblPr>
        <w:tblW w:w="3938" w:type="dxa"/>
        <w:jc w:val="center"/>
        <w:tblCellMar>
          <w:left w:w="70" w:type="dxa"/>
          <w:right w:w="70" w:type="dxa"/>
        </w:tblCellMar>
        <w:tblLook w:val="04A0" w:firstRow="1" w:lastRow="0" w:firstColumn="1" w:lastColumn="0" w:noHBand="0" w:noVBand="1"/>
      </w:tblPr>
      <w:tblGrid>
        <w:gridCol w:w="1396"/>
        <w:gridCol w:w="1047"/>
        <w:gridCol w:w="781"/>
        <w:gridCol w:w="714"/>
      </w:tblGrid>
      <w:tr w:rsidR="00B54957" w:rsidRPr="002D6F59" w14:paraId="007845A4" w14:textId="77777777" w:rsidTr="00B54957">
        <w:trPr>
          <w:trHeight w:val="300"/>
          <w:jc w:val="center"/>
        </w:trPr>
        <w:tc>
          <w:tcPr>
            <w:tcW w:w="1396" w:type="dxa"/>
            <w:tcBorders>
              <w:top w:val="single" w:sz="4" w:space="0" w:color="auto"/>
              <w:left w:val="single" w:sz="8" w:space="0" w:color="auto"/>
              <w:bottom w:val="single" w:sz="4" w:space="0" w:color="auto"/>
              <w:right w:val="single" w:sz="8" w:space="0" w:color="auto"/>
            </w:tcBorders>
            <w:shd w:val="clear" w:color="auto" w:fill="auto"/>
            <w:vAlign w:val="center"/>
          </w:tcPr>
          <w:p w14:paraId="26560326" w14:textId="77777777" w:rsidR="00B54957" w:rsidRPr="00DD0B04" w:rsidRDefault="00B54957" w:rsidP="00B17AB2">
            <w:pPr>
              <w:spacing w:line="276" w:lineRule="auto"/>
              <w:ind w:firstLineChars="100" w:firstLine="201"/>
              <w:jc w:val="center"/>
              <w:rPr>
                <w:rFonts w:ascii="Century Gothic" w:hAnsi="Century Gothic" w:cs="Arial"/>
                <w:b/>
                <w:sz w:val="20"/>
                <w:szCs w:val="20"/>
                <w:lang w:val="es-CO" w:eastAsia="es-CO"/>
              </w:rPr>
            </w:pPr>
            <w:r w:rsidRPr="00DD0B04">
              <w:rPr>
                <w:rFonts w:ascii="Century Gothic" w:hAnsi="Century Gothic" w:cs="Arial"/>
                <w:b/>
                <w:sz w:val="20"/>
                <w:szCs w:val="20"/>
                <w:lang w:val="es-CO" w:eastAsia="es-CO"/>
              </w:rPr>
              <w:t>Edad</w:t>
            </w:r>
          </w:p>
        </w:tc>
        <w:tc>
          <w:tcPr>
            <w:tcW w:w="1047" w:type="dxa"/>
            <w:tcBorders>
              <w:top w:val="single" w:sz="4" w:space="0" w:color="auto"/>
              <w:left w:val="single" w:sz="4" w:space="0" w:color="auto"/>
              <w:bottom w:val="single" w:sz="4" w:space="0" w:color="auto"/>
              <w:right w:val="single" w:sz="4" w:space="0" w:color="auto"/>
            </w:tcBorders>
            <w:shd w:val="clear" w:color="000000" w:fill="FDECE3"/>
            <w:noWrap/>
            <w:vAlign w:val="center"/>
          </w:tcPr>
          <w:p w14:paraId="4CC3A245" w14:textId="77777777" w:rsidR="00B54957" w:rsidRPr="00DD0B04" w:rsidRDefault="00B54957" w:rsidP="00B17AB2">
            <w:pPr>
              <w:spacing w:line="276" w:lineRule="auto"/>
              <w:jc w:val="center"/>
              <w:rPr>
                <w:rFonts w:ascii="Century Gothic" w:hAnsi="Century Gothic" w:cs="Arial"/>
                <w:b/>
                <w:color w:val="000000"/>
                <w:sz w:val="20"/>
                <w:szCs w:val="20"/>
                <w:lang w:val="es-CO" w:eastAsia="es-CO"/>
              </w:rPr>
            </w:pPr>
            <w:r w:rsidRPr="00DD0B04">
              <w:rPr>
                <w:rFonts w:ascii="Century Gothic" w:hAnsi="Century Gothic" w:cs="Arial"/>
                <w:b/>
                <w:color w:val="000000"/>
                <w:sz w:val="20"/>
                <w:szCs w:val="20"/>
                <w:lang w:val="es-CO" w:eastAsia="es-CO"/>
              </w:rPr>
              <w:t>Hombre</w:t>
            </w:r>
          </w:p>
        </w:tc>
        <w:tc>
          <w:tcPr>
            <w:tcW w:w="781" w:type="dxa"/>
            <w:tcBorders>
              <w:top w:val="single" w:sz="4" w:space="0" w:color="auto"/>
              <w:left w:val="nil"/>
              <w:bottom w:val="single" w:sz="4" w:space="0" w:color="auto"/>
              <w:right w:val="single" w:sz="4" w:space="0" w:color="auto"/>
            </w:tcBorders>
            <w:shd w:val="clear" w:color="000000" w:fill="FDECE3"/>
            <w:noWrap/>
            <w:vAlign w:val="center"/>
          </w:tcPr>
          <w:p w14:paraId="08350643" w14:textId="77777777" w:rsidR="00B54957" w:rsidRPr="00DD0B04" w:rsidRDefault="00B54957" w:rsidP="00B17AB2">
            <w:pPr>
              <w:spacing w:line="276" w:lineRule="auto"/>
              <w:jc w:val="center"/>
              <w:rPr>
                <w:rFonts w:ascii="Century Gothic" w:hAnsi="Century Gothic" w:cs="Arial"/>
                <w:b/>
                <w:color w:val="000000"/>
                <w:sz w:val="20"/>
                <w:szCs w:val="20"/>
                <w:lang w:val="es-CO" w:eastAsia="es-CO"/>
              </w:rPr>
            </w:pPr>
            <w:r w:rsidRPr="00DD0B04">
              <w:rPr>
                <w:rFonts w:ascii="Century Gothic" w:hAnsi="Century Gothic" w:cs="Arial"/>
                <w:b/>
                <w:color w:val="000000"/>
                <w:sz w:val="20"/>
                <w:szCs w:val="20"/>
                <w:lang w:val="es-CO" w:eastAsia="es-CO"/>
              </w:rPr>
              <w:t>Mujer</w:t>
            </w:r>
          </w:p>
        </w:tc>
        <w:tc>
          <w:tcPr>
            <w:tcW w:w="714" w:type="dxa"/>
            <w:tcBorders>
              <w:top w:val="single" w:sz="4" w:space="0" w:color="auto"/>
              <w:left w:val="single" w:sz="4" w:space="0" w:color="auto"/>
              <w:bottom w:val="single" w:sz="4" w:space="0" w:color="auto"/>
              <w:right w:val="single" w:sz="8" w:space="0" w:color="auto"/>
            </w:tcBorders>
            <w:shd w:val="clear" w:color="000000" w:fill="ABD9D8"/>
            <w:noWrap/>
            <w:vAlign w:val="center"/>
          </w:tcPr>
          <w:p w14:paraId="6691BFCF" w14:textId="77777777" w:rsidR="00B54957" w:rsidRPr="00DD0B04" w:rsidRDefault="00B54957" w:rsidP="00B17AB2">
            <w:pPr>
              <w:spacing w:line="276" w:lineRule="auto"/>
              <w:jc w:val="center"/>
              <w:rPr>
                <w:rFonts w:ascii="Century Gothic" w:hAnsi="Century Gothic" w:cs="Arial"/>
                <w:b/>
                <w:bCs/>
                <w:color w:val="000000"/>
                <w:sz w:val="20"/>
                <w:szCs w:val="20"/>
                <w:lang w:val="es-CO" w:eastAsia="es-CO"/>
              </w:rPr>
            </w:pPr>
            <w:r w:rsidRPr="00DD0B04">
              <w:rPr>
                <w:rFonts w:ascii="Century Gothic" w:hAnsi="Century Gothic" w:cs="Arial"/>
                <w:b/>
                <w:bCs/>
                <w:color w:val="000000"/>
                <w:sz w:val="20"/>
                <w:szCs w:val="20"/>
                <w:lang w:val="es-CO" w:eastAsia="es-CO"/>
              </w:rPr>
              <w:t>Total</w:t>
            </w:r>
          </w:p>
        </w:tc>
      </w:tr>
      <w:tr w:rsidR="00B54957" w:rsidRPr="002D6F59" w14:paraId="029329B3" w14:textId="77777777" w:rsidTr="00B54957">
        <w:trPr>
          <w:trHeight w:val="300"/>
          <w:jc w:val="center"/>
        </w:trPr>
        <w:tc>
          <w:tcPr>
            <w:tcW w:w="1396" w:type="dxa"/>
            <w:tcBorders>
              <w:top w:val="single" w:sz="4" w:space="0" w:color="auto"/>
              <w:left w:val="single" w:sz="8" w:space="0" w:color="auto"/>
              <w:bottom w:val="single" w:sz="4" w:space="0" w:color="auto"/>
              <w:right w:val="single" w:sz="8" w:space="0" w:color="auto"/>
            </w:tcBorders>
            <w:shd w:val="clear" w:color="auto" w:fill="auto"/>
            <w:vAlign w:val="center"/>
          </w:tcPr>
          <w:p w14:paraId="21144519"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(00 a 04)</w:t>
            </w:r>
          </w:p>
        </w:tc>
        <w:tc>
          <w:tcPr>
            <w:tcW w:w="1047" w:type="dxa"/>
            <w:tcBorders>
              <w:top w:val="single" w:sz="4" w:space="0" w:color="auto"/>
              <w:left w:val="single" w:sz="4" w:space="0" w:color="auto"/>
              <w:bottom w:val="single" w:sz="4" w:space="0" w:color="auto"/>
              <w:right w:val="single" w:sz="4" w:space="0" w:color="auto"/>
            </w:tcBorders>
            <w:shd w:val="clear" w:color="000000" w:fill="FDECE3"/>
            <w:noWrap/>
            <w:vAlign w:val="center"/>
          </w:tcPr>
          <w:p w14:paraId="21ABA37B" w14:textId="40560399" w:rsidR="00B54957" w:rsidRPr="00DD0B04" w:rsidRDefault="00E70DED" w:rsidP="00B17AB2">
            <w:pPr>
              <w:spacing w:line="276" w:lineRule="auto"/>
              <w:jc w:val="center"/>
              <w:rPr>
                <w:rFonts w:ascii="Century Gothic" w:hAnsi="Century Gothic" w:cs="Arial"/>
                <w:color w:val="000000"/>
                <w:sz w:val="20"/>
                <w:szCs w:val="20"/>
                <w:lang w:val="es-CO" w:eastAsia="es-CO"/>
              </w:rPr>
            </w:pPr>
            <w:r>
              <w:rPr>
                <w:rFonts w:ascii="Century Gothic" w:hAnsi="Century Gothic" w:cs="Arial"/>
                <w:color w:val="000000"/>
                <w:sz w:val="20"/>
                <w:szCs w:val="20"/>
                <w:lang w:val="es-CO" w:eastAsia="es-CO"/>
              </w:rPr>
              <w:t>27</w:t>
            </w:r>
          </w:p>
        </w:tc>
        <w:tc>
          <w:tcPr>
            <w:tcW w:w="781" w:type="dxa"/>
            <w:tcBorders>
              <w:top w:val="single" w:sz="4" w:space="0" w:color="auto"/>
              <w:left w:val="nil"/>
              <w:bottom w:val="single" w:sz="4" w:space="0" w:color="auto"/>
              <w:right w:val="single" w:sz="4" w:space="0" w:color="auto"/>
            </w:tcBorders>
            <w:shd w:val="clear" w:color="000000" w:fill="FDECE3"/>
            <w:noWrap/>
            <w:vAlign w:val="center"/>
          </w:tcPr>
          <w:p w14:paraId="50AB6B07" w14:textId="05E4801B"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2</w:t>
            </w:r>
            <w:r w:rsidR="00E70DED">
              <w:rPr>
                <w:rFonts w:ascii="Century Gothic" w:hAnsi="Century Gothic" w:cs="Arial"/>
                <w:color w:val="000000"/>
                <w:sz w:val="20"/>
                <w:szCs w:val="20"/>
                <w:lang w:val="es-CO" w:eastAsia="es-CO"/>
              </w:rPr>
              <w:t>3</w:t>
            </w:r>
          </w:p>
        </w:tc>
        <w:tc>
          <w:tcPr>
            <w:tcW w:w="714" w:type="dxa"/>
            <w:tcBorders>
              <w:top w:val="single" w:sz="4" w:space="0" w:color="auto"/>
              <w:left w:val="single" w:sz="4" w:space="0" w:color="auto"/>
              <w:bottom w:val="single" w:sz="4" w:space="0" w:color="auto"/>
              <w:right w:val="single" w:sz="8" w:space="0" w:color="auto"/>
            </w:tcBorders>
            <w:shd w:val="clear" w:color="000000" w:fill="ABD9D8"/>
            <w:noWrap/>
            <w:vAlign w:val="center"/>
          </w:tcPr>
          <w:p w14:paraId="3C617A07" w14:textId="4C5F0284" w:rsidR="00B54957" w:rsidRPr="00DD0B04" w:rsidRDefault="00B54957" w:rsidP="00B17AB2">
            <w:pPr>
              <w:spacing w:line="276" w:lineRule="auto"/>
              <w:jc w:val="center"/>
              <w:rPr>
                <w:rFonts w:ascii="Century Gothic" w:hAnsi="Century Gothic" w:cs="Arial"/>
                <w:b/>
                <w:bCs/>
                <w:color w:val="000000"/>
                <w:sz w:val="20"/>
                <w:szCs w:val="20"/>
                <w:lang w:val="es-CO" w:eastAsia="es-CO"/>
              </w:rPr>
            </w:pPr>
            <w:r w:rsidRPr="00DD0B04">
              <w:rPr>
                <w:rFonts w:ascii="Century Gothic" w:hAnsi="Century Gothic" w:cs="Arial"/>
                <w:b/>
                <w:bCs/>
                <w:color w:val="000000"/>
                <w:sz w:val="20"/>
                <w:szCs w:val="20"/>
                <w:lang w:val="es-CO" w:eastAsia="es-CO"/>
              </w:rPr>
              <w:t>5</w:t>
            </w:r>
            <w:r w:rsidR="00E70DED">
              <w:rPr>
                <w:rFonts w:ascii="Century Gothic" w:hAnsi="Century Gothic" w:cs="Arial"/>
                <w:b/>
                <w:bCs/>
                <w:color w:val="000000"/>
                <w:sz w:val="20"/>
                <w:szCs w:val="20"/>
                <w:lang w:val="es-CO" w:eastAsia="es-CO"/>
              </w:rPr>
              <w:t>0</w:t>
            </w:r>
          </w:p>
        </w:tc>
      </w:tr>
      <w:tr w:rsidR="00B54957" w:rsidRPr="002D6F59" w14:paraId="2593F989" w14:textId="77777777" w:rsidTr="00B5495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62B3729F"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(05 a 09)</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19411941" w14:textId="05409F9D"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1</w:t>
            </w:r>
            <w:r w:rsidR="00E70DED">
              <w:rPr>
                <w:rFonts w:ascii="Century Gothic" w:hAnsi="Century Gothic" w:cs="Arial"/>
                <w:color w:val="000000"/>
                <w:sz w:val="20"/>
                <w:szCs w:val="20"/>
                <w:lang w:val="es-CO" w:eastAsia="es-CO"/>
              </w:rPr>
              <w:t>0</w:t>
            </w:r>
          </w:p>
        </w:tc>
        <w:tc>
          <w:tcPr>
            <w:tcW w:w="781" w:type="dxa"/>
            <w:tcBorders>
              <w:top w:val="nil"/>
              <w:left w:val="nil"/>
              <w:bottom w:val="single" w:sz="4" w:space="0" w:color="auto"/>
              <w:right w:val="single" w:sz="4" w:space="0" w:color="auto"/>
            </w:tcBorders>
            <w:shd w:val="clear" w:color="000000" w:fill="FDECE3"/>
            <w:noWrap/>
            <w:vAlign w:val="center"/>
            <w:hideMark/>
          </w:tcPr>
          <w:p w14:paraId="717294C6" w14:textId="5B0AC1AA" w:rsidR="00B54957" w:rsidRPr="00DD0B04" w:rsidRDefault="00E70DED" w:rsidP="00B17AB2">
            <w:pPr>
              <w:spacing w:line="276" w:lineRule="auto"/>
              <w:jc w:val="center"/>
              <w:rPr>
                <w:rFonts w:ascii="Century Gothic" w:hAnsi="Century Gothic" w:cs="Arial"/>
                <w:color w:val="000000"/>
                <w:sz w:val="20"/>
                <w:szCs w:val="20"/>
                <w:lang w:val="es-CO" w:eastAsia="es-CO"/>
              </w:rPr>
            </w:pPr>
            <w:r>
              <w:rPr>
                <w:rFonts w:ascii="Century Gothic" w:hAnsi="Century Gothic" w:cs="Arial"/>
                <w:color w:val="000000"/>
                <w:sz w:val="20"/>
                <w:szCs w:val="20"/>
                <w:lang w:val="es-CO" w:eastAsia="es-CO"/>
              </w:rPr>
              <w:t>10</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61D0E2A7" w14:textId="5A4D324A" w:rsidR="00B54957" w:rsidRPr="00DD0B04" w:rsidRDefault="00E70DED" w:rsidP="00B17AB2">
            <w:pPr>
              <w:spacing w:line="276" w:lineRule="auto"/>
              <w:jc w:val="center"/>
              <w:rPr>
                <w:rFonts w:ascii="Century Gothic" w:hAnsi="Century Gothic" w:cs="Arial"/>
                <w:b/>
                <w:bCs/>
                <w:color w:val="000000"/>
                <w:sz w:val="20"/>
                <w:szCs w:val="20"/>
                <w:lang w:val="es-CO" w:eastAsia="es-CO"/>
              </w:rPr>
            </w:pPr>
            <w:r>
              <w:rPr>
                <w:rFonts w:ascii="Century Gothic" w:hAnsi="Century Gothic" w:cs="Arial"/>
                <w:b/>
                <w:bCs/>
                <w:color w:val="000000"/>
                <w:sz w:val="20"/>
                <w:szCs w:val="20"/>
                <w:lang w:val="es-CO" w:eastAsia="es-CO"/>
              </w:rPr>
              <w:t>20</w:t>
            </w:r>
          </w:p>
        </w:tc>
      </w:tr>
      <w:tr w:rsidR="00B54957" w:rsidRPr="002D6F59" w14:paraId="7E92C6D2" w14:textId="77777777" w:rsidTr="00B5495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38D8C095"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(10 a 14)</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6E60D65D" w14:textId="70E143DB" w:rsidR="00B54957" w:rsidRPr="00DD0B04" w:rsidRDefault="00E70DED" w:rsidP="00B17AB2">
            <w:pPr>
              <w:spacing w:line="276" w:lineRule="auto"/>
              <w:jc w:val="center"/>
              <w:rPr>
                <w:rFonts w:ascii="Century Gothic" w:hAnsi="Century Gothic" w:cs="Arial"/>
                <w:color w:val="000000"/>
                <w:sz w:val="20"/>
                <w:szCs w:val="20"/>
                <w:lang w:val="es-CO" w:eastAsia="es-CO"/>
              </w:rPr>
            </w:pPr>
            <w:r>
              <w:rPr>
                <w:rFonts w:ascii="Century Gothic" w:hAnsi="Century Gothic" w:cs="Arial"/>
                <w:color w:val="000000"/>
                <w:sz w:val="20"/>
                <w:szCs w:val="20"/>
                <w:lang w:val="es-CO" w:eastAsia="es-CO"/>
              </w:rPr>
              <w:t>61</w:t>
            </w:r>
          </w:p>
        </w:tc>
        <w:tc>
          <w:tcPr>
            <w:tcW w:w="781" w:type="dxa"/>
            <w:tcBorders>
              <w:top w:val="nil"/>
              <w:left w:val="nil"/>
              <w:bottom w:val="single" w:sz="4" w:space="0" w:color="auto"/>
              <w:right w:val="single" w:sz="4" w:space="0" w:color="auto"/>
            </w:tcBorders>
            <w:shd w:val="clear" w:color="000000" w:fill="FDECE3"/>
            <w:noWrap/>
            <w:vAlign w:val="center"/>
            <w:hideMark/>
          </w:tcPr>
          <w:p w14:paraId="140C9D82" w14:textId="15BD5353"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2</w:t>
            </w:r>
            <w:r w:rsidR="00E70DED">
              <w:rPr>
                <w:rFonts w:ascii="Century Gothic" w:hAnsi="Century Gothic" w:cs="Arial"/>
                <w:color w:val="000000"/>
                <w:sz w:val="20"/>
                <w:szCs w:val="20"/>
                <w:lang w:val="es-CO" w:eastAsia="es-CO"/>
              </w:rPr>
              <w:t>1</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6C7FD171" w14:textId="323D85AD" w:rsidR="00B54957" w:rsidRPr="00DD0B04" w:rsidRDefault="00E70DED" w:rsidP="00B17AB2">
            <w:pPr>
              <w:spacing w:line="276" w:lineRule="auto"/>
              <w:jc w:val="center"/>
              <w:rPr>
                <w:rFonts w:ascii="Century Gothic" w:hAnsi="Century Gothic" w:cs="Arial"/>
                <w:b/>
                <w:bCs/>
                <w:color w:val="000000"/>
                <w:sz w:val="20"/>
                <w:szCs w:val="20"/>
                <w:lang w:val="es-CO" w:eastAsia="es-CO"/>
              </w:rPr>
            </w:pPr>
            <w:r>
              <w:rPr>
                <w:rFonts w:ascii="Century Gothic" w:hAnsi="Century Gothic" w:cs="Arial"/>
                <w:b/>
                <w:bCs/>
                <w:color w:val="000000"/>
                <w:sz w:val="20"/>
                <w:szCs w:val="20"/>
                <w:lang w:val="es-CO" w:eastAsia="es-CO"/>
              </w:rPr>
              <w:t>82</w:t>
            </w:r>
          </w:p>
        </w:tc>
      </w:tr>
      <w:tr w:rsidR="00B54957" w:rsidRPr="002D6F59" w14:paraId="62BCC8B1" w14:textId="77777777" w:rsidTr="00B54957">
        <w:trPr>
          <w:trHeight w:val="300"/>
          <w:jc w:val="center"/>
        </w:trPr>
        <w:tc>
          <w:tcPr>
            <w:tcW w:w="1396" w:type="dxa"/>
            <w:tcBorders>
              <w:top w:val="nil"/>
              <w:left w:val="single" w:sz="8" w:space="0" w:color="auto"/>
              <w:bottom w:val="single" w:sz="4" w:space="0" w:color="auto"/>
              <w:right w:val="single" w:sz="8" w:space="0" w:color="auto"/>
            </w:tcBorders>
            <w:shd w:val="clear" w:color="auto" w:fill="auto"/>
            <w:vAlign w:val="center"/>
            <w:hideMark/>
          </w:tcPr>
          <w:p w14:paraId="5FE26058" w14:textId="77777777" w:rsidR="00B54957" w:rsidRPr="00DD0B04" w:rsidRDefault="00B54957" w:rsidP="00B17AB2">
            <w:pPr>
              <w:spacing w:line="276" w:lineRule="auto"/>
              <w:ind w:firstLineChars="100" w:firstLine="200"/>
              <w:jc w:val="center"/>
              <w:rPr>
                <w:rFonts w:ascii="Century Gothic" w:hAnsi="Century Gothic" w:cs="Arial"/>
                <w:sz w:val="20"/>
                <w:szCs w:val="20"/>
                <w:lang w:val="es-CO" w:eastAsia="es-CO"/>
              </w:rPr>
            </w:pPr>
            <w:r w:rsidRPr="00DD0B04">
              <w:rPr>
                <w:rFonts w:ascii="Century Gothic" w:hAnsi="Century Gothic" w:cs="Arial"/>
                <w:sz w:val="20"/>
                <w:szCs w:val="20"/>
                <w:lang w:val="es-CO" w:eastAsia="es-CO"/>
              </w:rPr>
              <w:t>(15 a 17)</w:t>
            </w:r>
          </w:p>
        </w:tc>
        <w:tc>
          <w:tcPr>
            <w:tcW w:w="1047" w:type="dxa"/>
            <w:tcBorders>
              <w:top w:val="nil"/>
              <w:left w:val="single" w:sz="4" w:space="0" w:color="auto"/>
              <w:bottom w:val="single" w:sz="4" w:space="0" w:color="auto"/>
              <w:right w:val="single" w:sz="4" w:space="0" w:color="auto"/>
            </w:tcBorders>
            <w:shd w:val="clear" w:color="000000" w:fill="FDECE3"/>
            <w:noWrap/>
            <w:vAlign w:val="center"/>
            <w:hideMark/>
          </w:tcPr>
          <w:p w14:paraId="0A970C21" w14:textId="47525463"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4</w:t>
            </w:r>
            <w:r w:rsidR="00E70DED">
              <w:rPr>
                <w:rFonts w:ascii="Century Gothic" w:hAnsi="Century Gothic" w:cs="Arial"/>
                <w:color w:val="000000"/>
                <w:sz w:val="20"/>
                <w:szCs w:val="20"/>
                <w:lang w:val="es-CO" w:eastAsia="es-CO"/>
              </w:rPr>
              <w:t>98</w:t>
            </w:r>
          </w:p>
        </w:tc>
        <w:tc>
          <w:tcPr>
            <w:tcW w:w="781" w:type="dxa"/>
            <w:tcBorders>
              <w:top w:val="nil"/>
              <w:left w:val="nil"/>
              <w:bottom w:val="single" w:sz="4" w:space="0" w:color="auto"/>
              <w:right w:val="single" w:sz="4" w:space="0" w:color="auto"/>
            </w:tcBorders>
            <w:shd w:val="clear" w:color="000000" w:fill="FDECE3"/>
            <w:noWrap/>
            <w:vAlign w:val="center"/>
            <w:hideMark/>
          </w:tcPr>
          <w:p w14:paraId="5FB900A3" w14:textId="7229A262" w:rsidR="00B54957" w:rsidRPr="00DD0B04" w:rsidRDefault="00B54957" w:rsidP="00B17AB2">
            <w:pPr>
              <w:spacing w:line="276" w:lineRule="auto"/>
              <w:jc w:val="center"/>
              <w:rPr>
                <w:rFonts w:ascii="Century Gothic" w:hAnsi="Century Gothic" w:cs="Arial"/>
                <w:color w:val="000000"/>
                <w:sz w:val="20"/>
                <w:szCs w:val="20"/>
                <w:lang w:val="es-CO" w:eastAsia="es-CO"/>
              </w:rPr>
            </w:pPr>
            <w:r w:rsidRPr="00DD0B04">
              <w:rPr>
                <w:rFonts w:ascii="Century Gothic" w:hAnsi="Century Gothic" w:cs="Arial"/>
                <w:color w:val="000000"/>
                <w:sz w:val="20"/>
                <w:szCs w:val="20"/>
                <w:lang w:val="es-CO" w:eastAsia="es-CO"/>
              </w:rPr>
              <w:t>5</w:t>
            </w:r>
            <w:r w:rsidR="00E70DED">
              <w:rPr>
                <w:rFonts w:ascii="Century Gothic" w:hAnsi="Century Gothic" w:cs="Arial"/>
                <w:color w:val="000000"/>
                <w:sz w:val="20"/>
                <w:szCs w:val="20"/>
                <w:lang w:val="es-CO" w:eastAsia="es-CO"/>
              </w:rPr>
              <w:t>8</w:t>
            </w:r>
          </w:p>
        </w:tc>
        <w:tc>
          <w:tcPr>
            <w:tcW w:w="714" w:type="dxa"/>
            <w:tcBorders>
              <w:top w:val="nil"/>
              <w:left w:val="single" w:sz="4" w:space="0" w:color="auto"/>
              <w:bottom w:val="single" w:sz="4" w:space="0" w:color="auto"/>
              <w:right w:val="single" w:sz="8" w:space="0" w:color="auto"/>
            </w:tcBorders>
            <w:shd w:val="clear" w:color="000000" w:fill="ABD9D8"/>
            <w:noWrap/>
            <w:vAlign w:val="center"/>
            <w:hideMark/>
          </w:tcPr>
          <w:p w14:paraId="41EE0183" w14:textId="2FD059A5" w:rsidR="00B54957" w:rsidRPr="00DD0B04" w:rsidRDefault="00E70DED" w:rsidP="00B17AB2">
            <w:pPr>
              <w:spacing w:line="276" w:lineRule="auto"/>
              <w:jc w:val="center"/>
              <w:rPr>
                <w:rFonts w:ascii="Century Gothic" w:hAnsi="Century Gothic" w:cs="Arial"/>
                <w:b/>
                <w:bCs/>
                <w:color w:val="000000"/>
                <w:sz w:val="20"/>
                <w:szCs w:val="20"/>
                <w:lang w:val="es-CO" w:eastAsia="es-CO"/>
              </w:rPr>
            </w:pPr>
            <w:r>
              <w:rPr>
                <w:rFonts w:ascii="Century Gothic" w:hAnsi="Century Gothic" w:cs="Arial"/>
                <w:b/>
                <w:bCs/>
                <w:color w:val="000000"/>
                <w:sz w:val="20"/>
                <w:szCs w:val="20"/>
                <w:lang w:val="es-CO" w:eastAsia="es-CO"/>
              </w:rPr>
              <w:t>556</w:t>
            </w:r>
          </w:p>
        </w:tc>
      </w:tr>
    </w:tbl>
    <w:p w14:paraId="33762BCE" w14:textId="40C9BC55" w:rsidR="00FD1E82" w:rsidRPr="00FD1E82" w:rsidRDefault="00FD1E82" w:rsidP="00FD1E82">
      <w:pPr>
        <w:spacing w:line="276" w:lineRule="auto"/>
        <w:jc w:val="center"/>
        <w:rPr>
          <w:rFonts w:ascii="Century Gothic" w:hAnsi="Century Gothic" w:cs="Arial"/>
          <w:sz w:val="18"/>
          <w:szCs w:val="18"/>
          <w:lang w:val="es-ES_tradnl"/>
        </w:rPr>
      </w:pPr>
      <w:r w:rsidRPr="002D6F59">
        <w:rPr>
          <w:rFonts w:ascii="Century Gothic" w:hAnsi="Century Gothic" w:cs="Arial"/>
          <w:sz w:val="18"/>
          <w:szCs w:val="18"/>
        </w:rPr>
        <w:t>Fuente:</w:t>
      </w:r>
      <w:r>
        <w:rPr>
          <w:rFonts w:ascii="Century Gothic" w:hAnsi="Century Gothic" w:cs="Arial"/>
          <w:sz w:val="18"/>
          <w:szCs w:val="18"/>
        </w:rPr>
        <w:t xml:space="preserve"> </w:t>
      </w:r>
      <w:hyperlink r:id="rId15" w:history="1">
        <w:r w:rsidRPr="00FD1E82">
          <w:rPr>
            <w:rFonts w:ascii="Century Gothic" w:hAnsi="Century Gothic" w:cs="Arial"/>
            <w:sz w:val="18"/>
            <w:szCs w:val="18"/>
          </w:rPr>
          <w:t>https://www.medicinalegal.gov.co/cifras-de-lesiones-de-causa-externa</w:t>
        </w:r>
      </w:hyperlink>
    </w:p>
    <w:p w14:paraId="7F6C20CA" w14:textId="51E100F2" w:rsidR="009C0307" w:rsidRPr="002D6F59" w:rsidRDefault="00FD1E82" w:rsidP="00B17AB2">
      <w:pPr>
        <w:spacing w:line="276" w:lineRule="auto"/>
        <w:jc w:val="center"/>
        <w:rPr>
          <w:rFonts w:ascii="Century Gothic" w:hAnsi="Century Gothic" w:cs="Arial"/>
          <w:sz w:val="18"/>
          <w:szCs w:val="18"/>
        </w:rPr>
      </w:pPr>
      <w:r w:rsidRPr="002D6F59">
        <w:rPr>
          <w:rFonts w:ascii="Century Gothic" w:hAnsi="Century Gothic" w:cs="Arial"/>
          <w:sz w:val="18"/>
          <w:szCs w:val="18"/>
        </w:rPr>
        <w:t xml:space="preserve"> </w:t>
      </w:r>
    </w:p>
    <w:p w14:paraId="23039B3F" w14:textId="6C746C18" w:rsidR="009C0307" w:rsidRPr="002D6F59" w:rsidRDefault="009C0307" w:rsidP="00B17AB2">
      <w:pPr>
        <w:spacing w:line="276" w:lineRule="auto"/>
        <w:jc w:val="both"/>
        <w:rPr>
          <w:rFonts w:ascii="Century Gothic" w:hAnsi="Century Gothic" w:cs="Arial"/>
          <w:lang w:eastAsia="es-ES"/>
        </w:rPr>
      </w:pPr>
      <w:r w:rsidRPr="002D6F59">
        <w:rPr>
          <w:rFonts w:ascii="Century Gothic" w:hAnsi="Century Gothic" w:cs="Arial"/>
        </w:rPr>
        <w:t xml:space="preserve">Ahora bien, respecto a </w:t>
      </w:r>
      <w:r w:rsidRPr="002D6F59">
        <w:rPr>
          <w:rFonts w:ascii="Century Gothic" w:hAnsi="Century Gothic" w:cs="Arial"/>
          <w:lang w:val="es-CO" w:eastAsia="es-ES"/>
        </w:rPr>
        <w:t xml:space="preserve">los departamentos </w:t>
      </w:r>
      <w:r w:rsidRPr="002D6F59">
        <w:rPr>
          <w:rFonts w:ascii="Century Gothic" w:hAnsi="Century Gothic" w:cs="Arial"/>
          <w:lang w:eastAsia="es-ES"/>
        </w:rPr>
        <w:t>que reportaron los mayores casos de homicidio contra los niños, niñas y adolescentes, durante el año 201</w:t>
      </w:r>
      <w:r w:rsidR="00E83194">
        <w:rPr>
          <w:rFonts w:ascii="Century Gothic" w:hAnsi="Century Gothic" w:cs="Arial"/>
          <w:lang w:eastAsia="es-ES"/>
        </w:rPr>
        <w:t>9</w:t>
      </w:r>
      <w:r w:rsidR="00160FB0">
        <w:rPr>
          <w:rFonts w:ascii="Century Gothic" w:hAnsi="Century Gothic" w:cs="Arial"/>
          <w:lang w:eastAsia="es-ES"/>
        </w:rPr>
        <w:t xml:space="preserve"> fueron: Valle del Cauca con 16</w:t>
      </w:r>
      <w:r w:rsidR="00AD2E9E">
        <w:rPr>
          <w:rFonts w:ascii="Century Gothic" w:hAnsi="Century Gothic" w:cs="Arial"/>
          <w:lang w:eastAsia="es-ES"/>
        </w:rPr>
        <w:t xml:space="preserve">6 </w:t>
      </w:r>
      <w:r w:rsidR="00160FB0">
        <w:rPr>
          <w:rFonts w:ascii="Century Gothic" w:hAnsi="Century Gothic" w:cs="Arial"/>
          <w:lang w:eastAsia="es-ES"/>
        </w:rPr>
        <w:t>casos, Antioquia con 1</w:t>
      </w:r>
      <w:r w:rsidR="00AD2E9E">
        <w:rPr>
          <w:rFonts w:ascii="Century Gothic" w:hAnsi="Century Gothic" w:cs="Arial"/>
          <w:lang w:eastAsia="es-ES"/>
        </w:rPr>
        <w:t>42</w:t>
      </w:r>
      <w:r w:rsidRPr="002D6F59">
        <w:rPr>
          <w:rFonts w:ascii="Century Gothic" w:hAnsi="Century Gothic" w:cs="Arial"/>
          <w:lang w:eastAsia="es-ES"/>
        </w:rPr>
        <w:t xml:space="preserve"> casos, </w:t>
      </w:r>
      <w:r w:rsidR="00AD2E9E">
        <w:rPr>
          <w:rFonts w:ascii="Century Gothic" w:hAnsi="Century Gothic" w:cs="Arial"/>
          <w:lang w:eastAsia="es-ES"/>
        </w:rPr>
        <w:t xml:space="preserve">Atlántico </w:t>
      </w:r>
      <w:r w:rsidRPr="002D6F59">
        <w:rPr>
          <w:rFonts w:ascii="Century Gothic" w:hAnsi="Century Gothic" w:cs="Arial"/>
          <w:lang w:eastAsia="es-ES"/>
        </w:rPr>
        <w:t xml:space="preserve">con </w:t>
      </w:r>
      <w:r w:rsidR="00AD2E9E">
        <w:rPr>
          <w:rFonts w:ascii="Century Gothic" w:hAnsi="Century Gothic" w:cs="Arial"/>
          <w:lang w:eastAsia="es-ES"/>
        </w:rPr>
        <w:t>3</w:t>
      </w:r>
      <w:r w:rsidRPr="002D6F59">
        <w:rPr>
          <w:rFonts w:ascii="Century Gothic" w:hAnsi="Century Gothic" w:cs="Arial"/>
          <w:lang w:eastAsia="es-ES"/>
        </w:rPr>
        <w:t xml:space="preserve">4 casos y </w:t>
      </w:r>
      <w:r w:rsidR="00AD2E9E">
        <w:rPr>
          <w:rFonts w:ascii="Century Gothic" w:hAnsi="Century Gothic" w:cs="Arial"/>
          <w:lang w:eastAsia="es-ES"/>
        </w:rPr>
        <w:t>Cauca</w:t>
      </w:r>
      <w:r w:rsidRPr="002D6F59">
        <w:rPr>
          <w:rFonts w:ascii="Century Gothic" w:hAnsi="Century Gothic" w:cs="Arial"/>
          <w:lang w:eastAsia="es-ES"/>
        </w:rPr>
        <w:t xml:space="preserve"> con </w:t>
      </w:r>
      <w:r w:rsidR="00AD2E9E">
        <w:rPr>
          <w:rFonts w:ascii="Century Gothic" w:hAnsi="Century Gothic" w:cs="Arial"/>
          <w:lang w:eastAsia="es-ES"/>
        </w:rPr>
        <w:t>31</w:t>
      </w:r>
      <w:r w:rsidRPr="002D6F59">
        <w:rPr>
          <w:rFonts w:ascii="Century Gothic" w:hAnsi="Century Gothic" w:cs="Arial"/>
          <w:lang w:eastAsia="es-ES"/>
        </w:rPr>
        <w:t xml:space="preserve"> casos, los cuales representan el </w:t>
      </w:r>
      <w:r w:rsidR="00AD2E9E">
        <w:rPr>
          <w:rFonts w:ascii="Century Gothic" w:hAnsi="Century Gothic" w:cs="Arial"/>
          <w:b/>
          <w:lang w:eastAsia="es-ES"/>
        </w:rPr>
        <w:t>56.6</w:t>
      </w:r>
      <w:r w:rsidRPr="002D6F59">
        <w:rPr>
          <w:rFonts w:ascii="Century Gothic" w:hAnsi="Century Gothic" w:cs="Arial"/>
          <w:b/>
          <w:lang w:eastAsia="es-ES"/>
        </w:rPr>
        <w:t>%</w:t>
      </w:r>
      <w:r w:rsidRPr="002D6F59">
        <w:rPr>
          <w:rFonts w:ascii="Century Gothic" w:hAnsi="Century Gothic" w:cs="Arial"/>
          <w:lang w:eastAsia="es-ES"/>
        </w:rPr>
        <w:t xml:space="preserve"> del total de casos reportados para la vigencia 201</w:t>
      </w:r>
      <w:r w:rsidR="006F2487">
        <w:rPr>
          <w:rFonts w:ascii="Century Gothic" w:hAnsi="Century Gothic" w:cs="Arial"/>
          <w:lang w:eastAsia="es-ES"/>
        </w:rPr>
        <w:t>9</w:t>
      </w:r>
      <w:r w:rsidRPr="002D6F59">
        <w:rPr>
          <w:rFonts w:ascii="Century Gothic" w:hAnsi="Century Gothic" w:cs="Arial"/>
          <w:lang w:eastAsia="es-ES"/>
        </w:rPr>
        <w:t>:</w:t>
      </w:r>
    </w:p>
    <w:p w14:paraId="5C6776F5" w14:textId="77777777" w:rsidR="009C0307" w:rsidRPr="002D6F59" w:rsidRDefault="009C0307" w:rsidP="00B17AB2">
      <w:pPr>
        <w:pStyle w:val="Prrafodelista"/>
        <w:spacing w:after="0"/>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4576"/>
        <w:gridCol w:w="1656"/>
      </w:tblGrid>
      <w:tr w:rsidR="00E83194" w:rsidRPr="002D6F59" w14:paraId="06492E27" w14:textId="77BA066E" w:rsidTr="00E83194">
        <w:trPr>
          <w:jc w:val="center"/>
        </w:trPr>
        <w:tc>
          <w:tcPr>
            <w:tcW w:w="4576" w:type="dxa"/>
            <w:shd w:val="clear" w:color="auto" w:fill="F2DBDB" w:themeFill="accent2" w:themeFillTint="33"/>
          </w:tcPr>
          <w:p w14:paraId="084B8241"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Amazonas</w:t>
            </w:r>
          </w:p>
        </w:tc>
        <w:tc>
          <w:tcPr>
            <w:tcW w:w="1656" w:type="dxa"/>
            <w:shd w:val="clear" w:color="auto" w:fill="F2DBDB" w:themeFill="accent2" w:themeFillTint="33"/>
          </w:tcPr>
          <w:p w14:paraId="36959615" w14:textId="2462A568" w:rsidR="00E83194" w:rsidRPr="002D6F59" w:rsidRDefault="008A14A3"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5EDDE3BD" w14:textId="23AB81AA" w:rsidTr="00E83194">
        <w:trPr>
          <w:jc w:val="center"/>
        </w:trPr>
        <w:tc>
          <w:tcPr>
            <w:tcW w:w="4576" w:type="dxa"/>
            <w:shd w:val="clear" w:color="auto" w:fill="FFFF00"/>
          </w:tcPr>
          <w:p w14:paraId="407C4A56"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Antioquia</w:t>
            </w:r>
          </w:p>
        </w:tc>
        <w:tc>
          <w:tcPr>
            <w:tcW w:w="1656" w:type="dxa"/>
            <w:shd w:val="clear" w:color="auto" w:fill="FFFF00"/>
          </w:tcPr>
          <w:p w14:paraId="059A2F07" w14:textId="44E1C580" w:rsidR="00E83194" w:rsidRPr="002D6F59" w:rsidRDefault="008A14A3"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142</w:t>
            </w:r>
          </w:p>
        </w:tc>
      </w:tr>
      <w:tr w:rsidR="00E83194" w:rsidRPr="002D6F59" w14:paraId="105CA1CD" w14:textId="070AD1F9" w:rsidTr="00E83194">
        <w:trPr>
          <w:jc w:val="center"/>
        </w:trPr>
        <w:tc>
          <w:tcPr>
            <w:tcW w:w="4576" w:type="dxa"/>
            <w:shd w:val="clear" w:color="auto" w:fill="F2DBDB" w:themeFill="accent2" w:themeFillTint="33"/>
          </w:tcPr>
          <w:p w14:paraId="0176C36C"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Arauca</w:t>
            </w:r>
          </w:p>
        </w:tc>
        <w:tc>
          <w:tcPr>
            <w:tcW w:w="1656" w:type="dxa"/>
            <w:shd w:val="clear" w:color="auto" w:fill="F2DBDB" w:themeFill="accent2" w:themeFillTint="33"/>
          </w:tcPr>
          <w:p w14:paraId="4525FA4C" w14:textId="77703B74" w:rsidR="00E83194" w:rsidRPr="002D6F59" w:rsidRDefault="008A14A3"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7</w:t>
            </w:r>
          </w:p>
        </w:tc>
      </w:tr>
      <w:tr w:rsidR="00E83194" w:rsidRPr="002D6F59" w14:paraId="5B83F1EB" w14:textId="5D002254" w:rsidTr="00E83194">
        <w:trPr>
          <w:trHeight w:val="223"/>
          <w:jc w:val="center"/>
        </w:trPr>
        <w:tc>
          <w:tcPr>
            <w:tcW w:w="4576" w:type="dxa"/>
            <w:shd w:val="clear" w:color="auto" w:fill="F2DBDB" w:themeFill="accent2" w:themeFillTint="33"/>
          </w:tcPr>
          <w:p w14:paraId="4CB7EEF1"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Archipiélago de San Andrés y Providencia</w:t>
            </w:r>
          </w:p>
        </w:tc>
        <w:tc>
          <w:tcPr>
            <w:tcW w:w="1656" w:type="dxa"/>
            <w:shd w:val="clear" w:color="auto" w:fill="F2DBDB" w:themeFill="accent2" w:themeFillTint="33"/>
          </w:tcPr>
          <w:p w14:paraId="6931DFDB" w14:textId="27A5C595" w:rsidR="00E83194" w:rsidRPr="002D6F59" w:rsidRDefault="008A14A3"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w:t>
            </w:r>
          </w:p>
        </w:tc>
      </w:tr>
      <w:tr w:rsidR="00E83194" w:rsidRPr="002D6F59" w14:paraId="1ACFFA90" w14:textId="3965D19D" w:rsidTr="007C7515">
        <w:trPr>
          <w:trHeight w:val="265"/>
          <w:jc w:val="center"/>
        </w:trPr>
        <w:tc>
          <w:tcPr>
            <w:tcW w:w="4576" w:type="dxa"/>
            <w:shd w:val="clear" w:color="auto" w:fill="FFFF00"/>
          </w:tcPr>
          <w:p w14:paraId="6FE4B091" w14:textId="77777777" w:rsidR="00E83194" w:rsidRPr="007C7515" w:rsidRDefault="00E83194" w:rsidP="00B17AB2">
            <w:pPr>
              <w:spacing w:line="276" w:lineRule="auto"/>
              <w:jc w:val="center"/>
              <w:rPr>
                <w:rFonts w:ascii="Century Gothic" w:hAnsi="Century Gothic" w:cs="Arial"/>
                <w:b/>
                <w:color w:val="404040"/>
                <w:sz w:val="20"/>
                <w:szCs w:val="20"/>
                <w:highlight w:val="yellow"/>
              </w:rPr>
            </w:pPr>
            <w:r w:rsidRPr="007C7515">
              <w:rPr>
                <w:rFonts w:ascii="Century Gothic" w:hAnsi="Century Gothic" w:cs="Arial"/>
                <w:b/>
                <w:color w:val="404040"/>
                <w:sz w:val="20"/>
                <w:szCs w:val="20"/>
                <w:highlight w:val="yellow"/>
              </w:rPr>
              <w:t>Atlántico</w:t>
            </w:r>
          </w:p>
        </w:tc>
        <w:tc>
          <w:tcPr>
            <w:tcW w:w="1656" w:type="dxa"/>
            <w:shd w:val="clear" w:color="auto" w:fill="FFFF00"/>
          </w:tcPr>
          <w:p w14:paraId="122753F2" w14:textId="63B7D0B1" w:rsidR="00E83194" w:rsidRPr="007C7515" w:rsidRDefault="00CB5335" w:rsidP="00B17AB2">
            <w:pPr>
              <w:spacing w:line="276" w:lineRule="auto"/>
              <w:jc w:val="center"/>
              <w:rPr>
                <w:rFonts w:ascii="Century Gothic" w:hAnsi="Century Gothic" w:cs="Arial"/>
                <w:b/>
                <w:color w:val="404040"/>
                <w:sz w:val="20"/>
                <w:szCs w:val="20"/>
                <w:highlight w:val="yellow"/>
              </w:rPr>
            </w:pPr>
            <w:r w:rsidRPr="007C7515">
              <w:rPr>
                <w:rFonts w:ascii="Century Gothic" w:hAnsi="Century Gothic" w:cs="Arial"/>
                <w:b/>
                <w:color w:val="404040"/>
                <w:sz w:val="20"/>
                <w:szCs w:val="20"/>
                <w:highlight w:val="yellow"/>
              </w:rPr>
              <w:t>34</w:t>
            </w:r>
          </w:p>
        </w:tc>
      </w:tr>
      <w:tr w:rsidR="00E83194" w:rsidRPr="002D6F59" w14:paraId="64106D47" w14:textId="09CC3193" w:rsidTr="00E83194">
        <w:trPr>
          <w:jc w:val="center"/>
        </w:trPr>
        <w:tc>
          <w:tcPr>
            <w:tcW w:w="4576" w:type="dxa"/>
            <w:shd w:val="clear" w:color="auto" w:fill="FFFF00"/>
          </w:tcPr>
          <w:p w14:paraId="37CC2434"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Bogotá</w:t>
            </w:r>
          </w:p>
        </w:tc>
        <w:tc>
          <w:tcPr>
            <w:tcW w:w="1656" w:type="dxa"/>
            <w:shd w:val="clear" w:color="auto" w:fill="FFFF00"/>
          </w:tcPr>
          <w:p w14:paraId="799692E4" w14:textId="052E30F4" w:rsidR="00E83194" w:rsidRPr="002D6F59" w:rsidRDefault="00CB5335"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59</w:t>
            </w:r>
          </w:p>
        </w:tc>
      </w:tr>
      <w:tr w:rsidR="00E83194" w:rsidRPr="002D6F59" w14:paraId="09128103" w14:textId="208E2167" w:rsidTr="00E83194">
        <w:trPr>
          <w:trHeight w:val="209"/>
          <w:jc w:val="center"/>
        </w:trPr>
        <w:tc>
          <w:tcPr>
            <w:tcW w:w="4576" w:type="dxa"/>
            <w:shd w:val="clear" w:color="auto" w:fill="F2DBDB" w:themeFill="accent2" w:themeFillTint="33"/>
          </w:tcPr>
          <w:p w14:paraId="653D18BA"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Bolívar</w:t>
            </w:r>
          </w:p>
        </w:tc>
        <w:tc>
          <w:tcPr>
            <w:tcW w:w="1656" w:type="dxa"/>
            <w:shd w:val="clear" w:color="auto" w:fill="F2DBDB" w:themeFill="accent2" w:themeFillTint="33"/>
          </w:tcPr>
          <w:p w14:paraId="07A4278A" w14:textId="487D60A7"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20</w:t>
            </w:r>
          </w:p>
        </w:tc>
      </w:tr>
      <w:tr w:rsidR="00E83194" w:rsidRPr="002D6F59" w14:paraId="511A9C40" w14:textId="3F8D98AC" w:rsidTr="00E83194">
        <w:trPr>
          <w:trHeight w:val="154"/>
          <w:jc w:val="center"/>
        </w:trPr>
        <w:tc>
          <w:tcPr>
            <w:tcW w:w="4576" w:type="dxa"/>
            <w:shd w:val="clear" w:color="auto" w:fill="F2DBDB" w:themeFill="accent2" w:themeFillTint="33"/>
          </w:tcPr>
          <w:p w14:paraId="25EC028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Boyacá</w:t>
            </w:r>
          </w:p>
        </w:tc>
        <w:tc>
          <w:tcPr>
            <w:tcW w:w="1656" w:type="dxa"/>
            <w:shd w:val="clear" w:color="auto" w:fill="F2DBDB" w:themeFill="accent2" w:themeFillTint="33"/>
          </w:tcPr>
          <w:p w14:paraId="3626D986" w14:textId="0CF1D198"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1370158E" w14:textId="0B73B7C2" w:rsidTr="00E83194">
        <w:trPr>
          <w:jc w:val="center"/>
        </w:trPr>
        <w:tc>
          <w:tcPr>
            <w:tcW w:w="4576" w:type="dxa"/>
            <w:shd w:val="clear" w:color="auto" w:fill="F2DBDB" w:themeFill="accent2" w:themeFillTint="33"/>
          </w:tcPr>
          <w:p w14:paraId="04E93299"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Caldas</w:t>
            </w:r>
          </w:p>
        </w:tc>
        <w:tc>
          <w:tcPr>
            <w:tcW w:w="1656" w:type="dxa"/>
            <w:shd w:val="clear" w:color="auto" w:fill="F2DBDB" w:themeFill="accent2" w:themeFillTint="33"/>
          </w:tcPr>
          <w:p w14:paraId="715D4B4A" w14:textId="34026F6A"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6389058E" w14:textId="231E5078" w:rsidTr="00E83194">
        <w:trPr>
          <w:jc w:val="center"/>
        </w:trPr>
        <w:tc>
          <w:tcPr>
            <w:tcW w:w="4576" w:type="dxa"/>
            <w:shd w:val="clear" w:color="auto" w:fill="F2DBDB" w:themeFill="accent2" w:themeFillTint="33"/>
          </w:tcPr>
          <w:p w14:paraId="4DF7AF3E"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Caquetá</w:t>
            </w:r>
          </w:p>
        </w:tc>
        <w:tc>
          <w:tcPr>
            <w:tcW w:w="1656" w:type="dxa"/>
            <w:shd w:val="clear" w:color="auto" w:fill="F2DBDB" w:themeFill="accent2" w:themeFillTint="33"/>
          </w:tcPr>
          <w:p w14:paraId="5D01C55D" w14:textId="2868FC5F"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15</w:t>
            </w:r>
          </w:p>
        </w:tc>
      </w:tr>
      <w:tr w:rsidR="00E83194" w:rsidRPr="002D6F59" w14:paraId="232112E8" w14:textId="27FD5C59" w:rsidTr="00E83194">
        <w:trPr>
          <w:jc w:val="center"/>
        </w:trPr>
        <w:tc>
          <w:tcPr>
            <w:tcW w:w="4576" w:type="dxa"/>
            <w:shd w:val="clear" w:color="auto" w:fill="F2DBDB" w:themeFill="accent2" w:themeFillTint="33"/>
          </w:tcPr>
          <w:p w14:paraId="1AA70A1B"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Casanare</w:t>
            </w:r>
          </w:p>
        </w:tc>
        <w:tc>
          <w:tcPr>
            <w:tcW w:w="1656" w:type="dxa"/>
            <w:shd w:val="clear" w:color="auto" w:fill="F2DBDB" w:themeFill="accent2" w:themeFillTint="33"/>
          </w:tcPr>
          <w:p w14:paraId="3DCC9AD3" w14:textId="5EA696F6"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75430659" w14:textId="6D5C57FB" w:rsidTr="00AD2E9E">
        <w:trPr>
          <w:trHeight w:val="301"/>
          <w:jc w:val="center"/>
        </w:trPr>
        <w:tc>
          <w:tcPr>
            <w:tcW w:w="4576" w:type="dxa"/>
            <w:shd w:val="clear" w:color="auto" w:fill="F2DBDB" w:themeFill="accent2" w:themeFillTint="33"/>
          </w:tcPr>
          <w:p w14:paraId="46DF1FCE" w14:textId="77777777" w:rsidR="00E83194" w:rsidRPr="00AD2E9E" w:rsidRDefault="00E83194" w:rsidP="00B17AB2">
            <w:pPr>
              <w:spacing w:line="276" w:lineRule="auto"/>
              <w:jc w:val="center"/>
              <w:rPr>
                <w:rFonts w:ascii="Century Gothic" w:hAnsi="Century Gothic" w:cs="Arial"/>
                <w:color w:val="404040"/>
                <w:sz w:val="20"/>
                <w:szCs w:val="20"/>
              </w:rPr>
            </w:pPr>
            <w:r w:rsidRPr="00AD2E9E">
              <w:rPr>
                <w:rFonts w:ascii="Century Gothic" w:hAnsi="Century Gothic" w:cs="Arial"/>
                <w:color w:val="404040"/>
                <w:sz w:val="20"/>
                <w:szCs w:val="20"/>
              </w:rPr>
              <w:t>Cauca</w:t>
            </w:r>
          </w:p>
        </w:tc>
        <w:tc>
          <w:tcPr>
            <w:tcW w:w="1656" w:type="dxa"/>
            <w:shd w:val="clear" w:color="auto" w:fill="F2DBDB" w:themeFill="accent2" w:themeFillTint="33"/>
          </w:tcPr>
          <w:p w14:paraId="0AA83564" w14:textId="15DD9829" w:rsidR="00E83194" w:rsidRPr="00AD2E9E" w:rsidRDefault="00CB5335" w:rsidP="00B17AB2">
            <w:pPr>
              <w:spacing w:line="276" w:lineRule="auto"/>
              <w:jc w:val="center"/>
              <w:rPr>
                <w:rFonts w:ascii="Century Gothic" w:hAnsi="Century Gothic" w:cs="Arial"/>
                <w:color w:val="404040"/>
                <w:sz w:val="20"/>
                <w:szCs w:val="20"/>
              </w:rPr>
            </w:pPr>
            <w:r w:rsidRPr="00AD2E9E">
              <w:rPr>
                <w:rFonts w:ascii="Century Gothic" w:hAnsi="Century Gothic" w:cs="Arial"/>
                <w:color w:val="404040"/>
                <w:sz w:val="20"/>
                <w:szCs w:val="20"/>
              </w:rPr>
              <w:t>31</w:t>
            </w:r>
          </w:p>
        </w:tc>
      </w:tr>
      <w:tr w:rsidR="00E83194" w:rsidRPr="002D6F59" w14:paraId="77B58EBD" w14:textId="721504E2" w:rsidTr="00E83194">
        <w:trPr>
          <w:jc w:val="center"/>
        </w:trPr>
        <w:tc>
          <w:tcPr>
            <w:tcW w:w="4576" w:type="dxa"/>
            <w:shd w:val="clear" w:color="auto" w:fill="F2DBDB" w:themeFill="accent2" w:themeFillTint="33"/>
          </w:tcPr>
          <w:p w14:paraId="275775DA"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Cesar</w:t>
            </w:r>
          </w:p>
        </w:tc>
        <w:tc>
          <w:tcPr>
            <w:tcW w:w="1656" w:type="dxa"/>
            <w:shd w:val="clear" w:color="auto" w:fill="F2DBDB" w:themeFill="accent2" w:themeFillTint="33"/>
          </w:tcPr>
          <w:p w14:paraId="2B693DDA" w14:textId="6A713016"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w:t>
            </w:r>
          </w:p>
        </w:tc>
      </w:tr>
      <w:tr w:rsidR="00E83194" w:rsidRPr="002D6F59" w14:paraId="052CC16B" w14:textId="7F768F76" w:rsidTr="00E83194">
        <w:trPr>
          <w:jc w:val="center"/>
        </w:trPr>
        <w:tc>
          <w:tcPr>
            <w:tcW w:w="4576" w:type="dxa"/>
            <w:shd w:val="clear" w:color="auto" w:fill="F2DBDB" w:themeFill="accent2" w:themeFillTint="33"/>
          </w:tcPr>
          <w:p w14:paraId="0B31DC6E"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Chocó</w:t>
            </w:r>
          </w:p>
        </w:tc>
        <w:tc>
          <w:tcPr>
            <w:tcW w:w="1656" w:type="dxa"/>
            <w:shd w:val="clear" w:color="auto" w:fill="F2DBDB" w:themeFill="accent2" w:themeFillTint="33"/>
          </w:tcPr>
          <w:p w14:paraId="026A95B6" w14:textId="134EA0A0"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9</w:t>
            </w:r>
          </w:p>
        </w:tc>
      </w:tr>
      <w:tr w:rsidR="00E83194" w:rsidRPr="002D6F59" w14:paraId="591A4A80" w14:textId="4DFE13B3" w:rsidTr="00E83194">
        <w:trPr>
          <w:jc w:val="center"/>
        </w:trPr>
        <w:tc>
          <w:tcPr>
            <w:tcW w:w="4576" w:type="dxa"/>
            <w:shd w:val="clear" w:color="auto" w:fill="F2DBDB" w:themeFill="accent2" w:themeFillTint="33"/>
          </w:tcPr>
          <w:p w14:paraId="2104D82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Córdoba</w:t>
            </w:r>
          </w:p>
        </w:tc>
        <w:tc>
          <w:tcPr>
            <w:tcW w:w="1656" w:type="dxa"/>
            <w:shd w:val="clear" w:color="auto" w:fill="F2DBDB" w:themeFill="accent2" w:themeFillTint="33"/>
          </w:tcPr>
          <w:p w14:paraId="274696CB" w14:textId="4A74CB6D"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8</w:t>
            </w:r>
          </w:p>
        </w:tc>
      </w:tr>
      <w:tr w:rsidR="00E83194" w:rsidRPr="002D6F59" w14:paraId="4B9059E5" w14:textId="5A13AF47" w:rsidTr="00E83194">
        <w:trPr>
          <w:trHeight w:val="237"/>
          <w:jc w:val="center"/>
        </w:trPr>
        <w:tc>
          <w:tcPr>
            <w:tcW w:w="4576" w:type="dxa"/>
            <w:shd w:val="clear" w:color="auto" w:fill="F2DBDB" w:themeFill="accent2" w:themeFillTint="33"/>
          </w:tcPr>
          <w:p w14:paraId="60A8FF18"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Cundinamarca</w:t>
            </w:r>
          </w:p>
        </w:tc>
        <w:tc>
          <w:tcPr>
            <w:tcW w:w="1656" w:type="dxa"/>
            <w:shd w:val="clear" w:color="auto" w:fill="F2DBDB" w:themeFill="accent2" w:themeFillTint="33"/>
          </w:tcPr>
          <w:p w14:paraId="40382636" w14:textId="7140ADF5"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16</w:t>
            </w:r>
          </w:p>
        </w:tc>
      </w:tr>
      <w:tr w:rsidR="00E83194" w:rsidRPr="002D6F59" w14:paraId="1A9D30A2" w14:textId="451EC347" w:rsidTr="00E83194">
        <w:trPr>
          <w:trHeight w:val="140"/>
          <w:jc w:val="center"/>
        </w:trPr>
        <w:tc>
          <w:tcPr>
            <w:tcW w:w="4576" w:type="dxa"/>
            <w:shd w:val="clear" w:color="auto" w:fill="F2DBDB" w:themeFill="accent2" w:themeFillTint="33"/>
          </w:tcPr>
          <w:p w14:paraId="7BD58F7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Guainía</w:t>
            </w:r>
          </w:p>
        </w:tc>
        <w:tc>
          <w:tcPr>
            <w:tcW w:w="1656" w:type="dxa"/>
            <w:shd w:val="clear" w:color="auto" w:fill="F2DBDB" w:themeFill="accent2" w:themeFillTint="33"/>
          </w:tcPr>
          <w:p w14:paraId="48365694" w14:textId="595E79BA"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1BC33324" w14:textId="67A45929" w:rsidTr="00E83194">
        <w:trPr>
          <w:trHeight w:val="168"/>
          <w:jc w:val="center"/>
        </w:trPr>
        <w:tc>
          <w:tcPr>
            <w:tcW w:w="4576" w:type="dxa"/>
            <w:shd w:val="clear" w:color="auto" w:fill="F2DBDB" w:themeFill="accent2" w:themeFillTint="33"/>
          </w:tcPr>
          <w:p w14:paraId="1B5F8587"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Guaviare</w:t>
            </w:r>
          </w:p>
        </w:tc>
        <w:tc>
          <w:tcPr>
            <w:tcW w:w="1656" w:type="dxa"/>
            <w:shd w:val="clear" w:color="auto" w:fill="F2DBDB" w:themeFill="accent2" w:themeFillTint="33"/>
          </w:tcPr>
          <w:p w14:paraId="26FD5B3A" w14:textId="1870B9CD"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w:t>
            </w:r>
          </w:p>
        </w:tc>
      </w:tr>
      <w:tr w:rsidR="00E83194" w:rsidRPr="002D6F59" w14:paraId="08DFF3D0" w14:textId="60A19809" w:rsidTr="001C128A">
        <w:trPr>
          <w:jc w:val="center"/>
        </w:trPr>
        <w:tc>
          <w:tcPr>
            <w:tcW w:w="4576" w:type="dxa"/>
            <w:shd w:val="clear" w:color="auto" w:fill="F2DBDB" w:themeFill="accent2" w:themeFillTint="33"/>
          </w:tcPr>
          <w:p w14:paraId="2A8DA8D9" w14:textId="77777777" w:rsidR="00E83194" w:rsidRPr="001C128A" w:rsidRDefault="00E83194" w:rsidP="00B17AB2">
            <w:pPr>
              <w:spacing w:line="276" w:lineRule="auto"/>
              <w:jc w:val="center"/>
              <w:rPr>
                <w:rFonts w:ascii="Century Gothic" w:hAnsi="Century Gothic" w:cs="Arial"/>
                <w:color w:val="404040"/>
                <w:sz w:val="20"/>
                <w:szCs w:val="20"/>
              </w:rPr>
            </w:pPr>
            <w:r w:rsidRPr="001C128A">
              <w:rPr>
                <w:rFonts w:ascii="Century Gothic" w:hAnsi="Century Gothic" w:cs="Arial"/>
                <w:color w:val="404040"/>
                <w:sz w:val="20"/>
                <w:szCs w:val="20"/>
              </w:rPr>
              <w:t>Huila</w:t>
            </w:r>
          </w:p>
        </w:tc>
        <w:tc>
          <w:tcPr>
            <w:tcW w:w="1656" w:type="dxa"/>
            <w:shd w:val="clear" w:color="auto" w:fill="F2DBDB" w:themeFill="accent2" w:themeFillTint="33"/>
          </w:tcPr>
          <w:p w14:paraId="3252748D" w14:textId="5E36E1B2" w:rsidR="00E83194" w:rsidRPr="001C128A" w:rsidRDefault="00CB5335" w:rsidP="00B17AB2">
            <w:pPr>
              <w:spacing w:line="276" w:lineRule="auto"/>
              <w:jc w:val="center"/>
              <w:rPr>
                <w:rFonts w:ascii="Century Gothic" w:hAnsi="Century Gothic" w:cs="Arial"/>
                <w:color w:val="404040"/>
                <w:sz w:val="20"/>
                <w:szCs w:val="20"/>
              </w:rPr>
            </w:pPr>
            <w:r w:rsidRPr="001C128A">
              <w:rPr>
                <w:rFonts w:ascii="Century Gothic" w:hAnsi="Century Gothic" w:cs="Arial"/>
                <w:color w:val="404040"/>
                <w:sz w:val="20"/>
                <w:szCs w:val="20"/>
              </w:rPr>
              <w:t>14</w:t>
            </w:r>
          </w:p>
        </w:tc>
      </w:tr>
      <w:tr w:rsidR="00E83194" w:rsidRPr="002D6F59" w14:paraId="55B15BDD" w14:textId="204E128D" w:rsidTr="00E83194">
        <w:trPr>
          <w:trHeight w:val="252"/>
          <w:jc w:val="center"/>
        </w:trPr>
        <w:tc>
          <w:tcPr>
            <w:tcW w:w="4576" w:type="dxa"/>
            <w:shd w:val="clear" w:color="auto" w:fill="F2DBDB" w:themeFill="accent2" w:themeFillTint="33"/>
          </w:tcPr>
          <w:p w14:paraId="1299228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La Guajira</w:t>
            </w:r>
          </w:p>
        </w:tc>
        <w:tc>
          <w:tcPr>
            <w:tcW w:w="1656" w:type="dxa"/>
            <w:shd w:val="clear" w:color="auto" w:fill="F2DBDB" w:themeFill="accent2" w:themeFillTint="33"/>
          </w:tcPr>
          <w:p w14:paraId="6E2A7014" w14:textId="339ED182"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13</w:t>
            </w:r>
          </w:p>
        </w:tc>
      </w:tr>
      <w:tr w:rsidR="00E83194" w:rsidRPr="002D6F59" w14:paraId="27193BA9" w14:textId="6D1AACB1" w:rsidTr="00E83194">
        <w:trPr>
          <w:trHeight w:val="101"/>
          <w:jc w:val="center"/>
        </w:trPr>
        <w:tc>
          <w:tcPr>
            <w:tcW w:w="4576" w:type="dxa"/>
            <w:shd w:val="clear" w:color="auto" w:fill="F2DBDB" w:themeFill="accent2" w:themeFillTint="33"/>
          </w:tcPr>
          <w:p w14:paraId="101E104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Magdalena</w:t>
            </w:r>
          </w:p>
        </w:tc>
        <w:tc>
          <w:tcPr>
            <w:tcW w:w="1656" w:type="dxa"/>
            <w:shd w:val="clear" w:color="auto" w:fill="F2DBDB" w:themeFill="accent2" w:themeFillTint="33"/>
          </w:tcPr>
          <w:p w14:paraId="33600534" w14:textId="796B57D8"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w:t>
            </w:r>
          </w:p>
        </w:tc>
      </w:tr>
      <w:tr w:rsidR="00E83194" w:rsidRPr="002D6F59" w14:paraId="3D265A1B" w14:textId="05B45BF5" w:rsidTr="00E83194">
        <w:trPr>
          <w:jc w:val="center"/>
        </w:trPr>
        <w:tc>
          <w:tcPr>
            <w:tcW w:w="4576" w:type="dxa"/>
            <w:shd w:val="clear" w:color="auto" w:fill="F2DBDB" w:themeFill="accent2" w:themeFillTint="33"/>
          </w:tcPr>
          <w:p w14:paraId="0E12980A"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Meta</w:t>
            </w:r>
          </w:p>
        </w:tc>
        <w:tc>
          <w:tcPr>
            <w:tcW w:w="1656" w:type="dxa"/>
            <w:shd w:val="clear" w:color="auto" w:fill="F2DBDB" w:themeFill="accent2" w:themeFillTint="33"/>
          </w:tcPr>
          <w:p w14:paraId="73388517" w14:textId="340C8DC0"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19</w:t>
            </w:r>
          </w:p>
        </w:tc>
      </w:tr>
      <w:tr w:rsidR="00E83194" w:rsidRPr="002D6F59" w14:paraId="14026FAF" w14:textId="5A56C14F" w:rsidTr="007C7515">
        <w:trPr>
          <w:trHeight w:val="179"/>
          <w:jc w:val="center"/>
        </w:trPr>
        <w:tc>
          <w:tcPr>
            <w:tcW w:w="4576" w:type="dxa"/>
            <w:shd w:val="clear" w:color="auto" w:fill="F2DBDB" w:themeFill="accent2" w:themeFillTint="33"/>
          </w:tcPr>
          <w:p w14:paraId="035B9D7F" w14:textId="77777777" w:rsidR="00E83194" w:rsidRPr="007C7515" w:rsidRDefault="00E83194" w:rsidP="00B17AB2">
            <w:pPr>
              <w:spacing w:line="276" w:lineRule="auto"/>
              <w:jc w:val="center"/>
              <w:rPr>
                <w:rFonts w:ascii="Century Gothic" w:hAnsi="Century Gothic" w:cs="Arial"/>
                <w:color w:val="404040"/>
                <w:sz w:val="20"/>
                <w:szCs w:val="20"/>
              </w:rPr>
            </w:pPr>
            <w:r w:rsidRPr="007C7515">
              <w:rPr>
                <w:rFonts w:ascii="Century Gothic" w:hAnsi="Century Gothic" w:cs="Arial"/>
                <w:color w:val="404040"/>
                <w:sz w:val="20"/>
                <w:szCs w:val="20"/>
              </w:rPr>
              <w:lastRenderedPageBreak/>
              <w:t>Nariño</w:t>
            </w:r>
          </w:p>
        </w:tc>
        <w:tc>
          <w:tcPr>
            <w:tcW w:w="1656" w:type="dxa"/>
            <w:shd w:val="clear" w:color="auto" w:fill="F2DBDB" w:themeFill="accent2" w:themeFillTint="33"/>
          </w:tcPr>
          <w:p w14:paraId="4D42DA93" w14:textId="7982A509" w:rsidR="00E83194" w:rsidRPr="007C7515" w:rsidRDefault="00CB5335" w:rsidP="00B17AB2">
            <w:pPr>
              <w:spacing w:line="276" w:lineRule="auto"/>
              <w:jc w:val="center"/>
              <w:rPr>
                <w:rFonts w:ascii="Century Gothic" w:hAnsi="Century Gothic" w:cs="Arial"/>
                <w:color w:val="404040"/>
                <w:sz w:val="20"/>
                <w:szCs w:val="20"/>
              </w:rPr>
            </w:pPr>
            <w:r w:rsidRPr="007C7515">
              <w:rPr>
                <w:rFonts w:ascii="Century Gothic" w:hAnsi="Century Gothic" w:cs="Arial"/>
                <w:color w:val="404040"/>
                <w:sz w:val="20"/>
                <w:szCs w:val="20"/>
              </w:rPr>
              <w:t>28</w:t>
            </w:r>
          </w:p>
        </w:tc>
      </w:tr>
      <w:tr w:rsidR="00E83194" w:rsidRPr="002D6F59" w14:paraId="72C80E46" w14:textId="18C8224E" w:rsidTr="00E83194">
        <w:trPr>
          <w:jc w:val="center"/>
        </w:trPr>
        <w:tc>
          <w:tcPr>
            <w:tcW w:w="4576" w:type="dxa"/>
            <w:shd w:val="clear" w:color="auto" w:fill="F2DBDB" w:themeFill="accent2" w:themeFillTint="33"/>
          </w:tcPr>
          <w:p w14:paraId="3C8351BC"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Norte de Santander</w:t>
            </w:r>
          </w:p>
        </w:tc>
        <w:tc>
          <w:tcPr>
            <w:tcW w:w="1656" w:type="dxa"/>
            <w:shd w:val="clear" w:color="auto" w:fill="F2DBDB" w:themeFill="accent2" w:themeFillTint="33"/>
          </w:tcPr>
          <w:p w14:paraId="50D8C933" w14:textId="06FE34FC"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21</w:t>
            </w:r>
          </w:p>
        </w:tc>
      </w:tr>
      <w:tr w:rsidR="00E83194" w:rsidRPr="002D6F59" w14:paraId="5A037B09" w14:textId="27AB9294" w:rsidTr="00E83194">
        <w:trPr>
          <w:jc w:val="center"/>
        </w:trPr>
        <w:tc>
          <w:tcPr>
            <w:tcW w:w="4576" w:type="dxa"/>
            <w:shd w:val="clear" w:color="auto" w:fill="F2DBDB" w:themeFill="accent2" w:themeFillTint="33"/>
          </w:tcPr>
          <w:p w14:paraId="7FD893B4"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Putumayo</w:t>
            </w:r>
          </w:p>
        </w:tc>
        <w:tc>
          <w:tcPr>
            <w:tcW w:w="1656" w:type="dxa"/>
            <w:shd w:val="clear" w:color="auto" w:fill="F2DBDB" w:themeFill="accent2" w:themeFillTint="33"/>
          </w:tcPr>
          <w:p w14:paraId="7C230490" w14:textId="61436C54"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4</w:t>
            </w:r>
          </w:p>
        </w:tc>
      </w:tr>
      <w:tr w:rsidR="00E83194" w:rsidRPr="002D6F59" w14:paraId="0B162D18" w14:textId="66730F7B" w:rsidTr="00E83194">
        <w:trPr>
          <w:trHeight w:val="266"/>
          <w:jc w:val="center"/>
        </w:trPr>
        <w:tc>
          <w:tcPr>
            <w:tcW w:w="4576" w:type="dxa"/>
            <w:shd w:val="clear" w:color="auto" w:fill="F2DBDB" w:themeFill="accent2" w:themeFillTint="33"/>
          </w:tcPr>
          <w:p w14:paraId="5293DDD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Quindío</w:t>
            </w:r>
          </w:p>
        </w:tc>
        <w:tc>
          <w:tcPr>
            <w:tcW w:w="1656" w:type="dxa"/>
            <w:shd w:val="clear" w:color="auto" w:fill="F2DBDB" w:themeFill="accent2" w:themeFillTint="33"/>
          </w:tcPr>
          <w:p w14:paraId="6725D598" w14:textId="76EDFF53"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11</w:t>
            </w:r>
          </w:p>
        </w:tc>
      </w:tr>
      <w:tr w:rsidR="00E83194" w:rsidRPr="002D6F59" w14:paraId="1693F369" w14:textId="31802859" w:rsidTr="00E83194">
        <w:trPr>
          <w:jc w:val="center"/>
        </w:trPr>
        <w:tc>
          <w:tcPr>
            <w:tcW w:w="4576" w:type="dxa"/>
            <w:shd w:val="clear" w:color="auto" w:fill="F2DBDB" w:themeFill="accent2" w:themeFillTint="33"/>
          </w:tcPr>
          <w:p w14:paraId="6CCCAA96"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Risaralda</w:t>
            </w:r>
          </w:p>
        </w:tc>
        <w:tc>
          <w:tcPr>
            <w:tcW w:w="1656" w:type="dxa"/>
            <w:shd w:val="clear" w:color="auto" w:fill="F2DBDB" w:themeFill="accent2" w:themeFillTint="33"/>
          </w:tcPr>
          <w:p w14:paraId="1C98A90A" w14:textId="2369118F"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9</w:t>
            </w:r>
          </w:p>
        </w:tc>
      </w:tr>
      <w:tr w:rsidR="00E83194" w:rsidRPr="002D6F59" w14:paraId="40EB8643" w14:textId="27999BC8" w:rsidTr="00E83194">
        <w:trPr>
          <w:jc w:val="center"/>
        </w:trPr>
        <w:tc>
          <w:tcPr>
            <w:tcW w:w="4576" w:type="dxa"/>
            <w:shd w:val="clear" w:color="auto" w:fill="F2DBDB" w:themeFill="accent2" w:themeFillTint="33"/>
          </w:tcPr>
          <w:p w14:paraId="44EDD3EB"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Santander</w:t>
            </w:r>
          </w:p>
        </w:tc>
        <w:tc>
          <w:tcPr>
            <w:tcW w:w="1656" w:type="dxa"/>
            <w:shd w:val="clear" w:color="auto" w:fill="F2DBDB" w:themeFill="accent2" w:themeFillTint="33"/>
          </w:tcPr>
          <w:p w14:paraId="4AFA1582" w14:textId="17ECE0D2"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21</w:t>
            </w:r>
          </w:p>
        </w:tc>
      </w:tr>
      <w:tr w:rsidR="00E83194" w:rsidRPr="002D6F59" w14:paraId="33F5AACC" w14:textId="7717EB7F" w:rsidTr="00E83194">
        <w:trPr>
          <w:trHeight w:val="101"/>
          <w:jc w:val="center"/>
        </w:trPr>
        <w:tc>
          <w:tcPr>
            <w:tcW w:w="4576" w:type="dxa"/>
            <w:shd w:val="clear" w:color="auto" w:fill="F2DBDB" w:themeFill="accent2" w:themeFillTint="33"/>
          </w:tcPr>
          <w:p w14:paraId="268A807F"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Sucre</w:t>
            </w:r>
          </w:p>
        </w:tc>
        <w:tc>
          <w:tcPr>
            <w:tcW w:w="1656" w:type="dxa"/>
            <w:shd w:val="clear" w:color="auto" w:fill="F2DBDB" w:themeFill="accent2" w:themeFillTint="33"/>
          </w:tcPr>
          <w:p w14:paraId="6BB26E15" w14:textId="75799966"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7</w:t>
            </w:r>
          </w:p>
        </w:tc>
      </w:tr>
      <w:tr w:rsidR="00E83194" w:rsidRPr="002D6F59" w14:paraId="19FD63C0" w14:textId="3735FAB7" w:rsidTr="00E83194">
        <w:trPr>
          <w:trHeight w:val="127"/>
          <w:jc w:val="center"/>
        </w:trPr>
        <w:tc>
          <w:tcPr>
            <w:tcW w:w="4576" w:type="dxa"/>
            <w:shd w:val="clear" w:color="auto" w:fill="F2DBDB" w:themeFill="accent2" w:themeFillTint="33"/>
          </w:tcPr>
          <w:p w14:paraId="72A616A5"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Tolima</w:t>
            </w:r>
          </w:p>
        </w:tc>
        <w:tc>
          <w:tcPr>
            <w:tcW w:w="1656" w:type="dxa"/>
            <w:shd w:val="clear" w:color="auto" w:fill="F2DBDB" w:themeFill="accent2" w:themeFillTint="33"/>
          </w:tcPr>
          <w:p w14:paraId="2CE0054A" w14:textId="403C5C9F"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w:t>
            </w:r>
            <w:r w:rsidR="00221FEB">
              <w:rPr>
                <w:rFonts w:ascii="Century Gothic" w:hAnsi="Century Gothic" w:cs="Arial"/>
                <w:color w:val="404040"/>
                <w:sz w:val="20"/>
                <w:szCs w:val="20"/>
              </w:rPr>
              <w:t>5</w:t>
            </w:r>
          </w:p>
        </w:tc>
      </w:tr>
      <w:tr w:rsidR="00E83194" w:rsidRPr="002D6F59" w14:paraId="082DFB46" w14:textId="2937B450" w:rsidTr="00E83194">
        <w:trPr>
          <w:jc w:val="center"/>
        </w:trPr>
        <w:tc>
          <w:tcPr>
            <w:tcW w:w="4576" w:type="dxa"/>
            <w:shd w:val="clear" w:color="auto" w:fill="FFFF00"/>
          </w:tcPr>
          <w:p w14:paraId="28E86A29"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Valle del Cauca</w:t>
            </w:r>
          </w:p>
        </w:tc>
        <w:tc>
          <w:tcPr>
            <w:tcW w:w="1656" w:type="dxa"/>
            <w:shd w:val="clear" w:color="auto" w:fill="FFFF00"/>
          </w:tcPr>
          <w:p w14:paraId="590D1F07" w14:textId="1D71DA6F" w:rsidR="00E83194" w:rsidRPr="002D6F59" w:rsidRDefault="00CB5335"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166</w:t>
            </w:r>
          </w:p>
        </w:tc>
      </w:tr>
      <w:tr w:rsidR="00E83194" w:rsidRPr="002D6F59" w14:paraId="08074748" w14:textId="676C31B2" w:rsidTr="00E83194">
        <w:trPr>
          <w:trHeight w:val="101"/>
          <w:jc w:val="center"/>
        </w:trPr>
        <w:tc>
          <w:tcPr>
            <w:tcW w:w="4576" w:type="dxa"/>
            <w:shd w:val="clear" w:color="auto" w:fill="F2DBDB" w:themeFill="accent2" w:themeFillTint="33"/>
          </w:tcPr>
          <w:p w14:paraId="670D5C4F"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Vaupés</w:t>
            </w:r>
          </w:p>
        </w:tc>
        <w:tc>
          <w:tcPr>
            <w:tcW w:w="1656" w:type="dxa"/>
            <w:shd w:val="clear" w:color="auto" w:fill="F2DBDB" w:themeFill="accent2" w:themeFillTint="33"/>
          </w:tcPr>
          <w:p w14:paraId="3CBB77EB" w14:textId="33D58A80"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1BAF9347" w14:textId="7EF44EAE" w:rsidTr="00E83194">
        <w:trPr>
          <w:trHeight w:val="252"/>
          <w:jc w:val="center"/>
        </w:trPr>
        <w:tc>
          <w:tcPr>
            <w:tcW w:w="4576" w:type="dxa"/>
            <w:shd w:val="clear" w:color="auto" w:fill="F2DBDB" w:themeFill="accent2" w:themeFillTint="33"/>
          </w:tcPr>
          <w:p w14:paraId="1A465167"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Vichada</w:t>
            </w:r>
          </w:p>
        </w:tc>
        <w:tc>
          <w:tcPr>
            <w:tcW w:w="1656" w:type="dxa"/>
            <w:shd w:val="clear" w:color="auto" w:fill="F2DBDB" w:themeFill="accent2" w:themeFillTint="33"/>
          </w:tcPr>
          <w:p w14:paraId="7D7B6105" w14:textId="222F107E" w:rsidR="00E83194" w:rsidRPr="002D6F59" w:rsidRDefault="00CB5335"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0</w:t>
            </w:r>
          </w:p>
        </w:tc>
      </w:tr>
      <w:tr w:rsidR="00E83194" w:rsidRPr="002D6F59" w14:paraId="649CBF08" w14:textId="0145E7BE" w:rsidTr="00E83194">
        <w:trPr>
          <w:trHeight w:val="252"/>
          <w:jc w:val="center"/>
        </w:trPr>
        <w:tc>
          <w:tcPr>
            <w:tcW w:w="4576" w:type="dxa"/>
            <w:shd w:val="clear" w:color="auto" w:fill="F2DBDB" w:themeFill="accent2" w:themeFillTint="33"/>
          </w:tcPr>
          <w:p w14:paraId="39B1DE7D" w14:textId="77777777" w:rsidR="00E83194" w:rsidRPr="002D6F59" w:rsidRDefault="00E83194" w:rsidP="00B17AB2">
            <w:pPr>
              <w:spacing w:line="276" w:lineRule="auto"/>
              <w:jc w:val="center"/>
              <w:rPr>
                <w:rFonts w:ascii="Century Gothic" w:hAnsi="Century Gothic" w:cs="Arial"/>
                <w:color w:val="404040"/>
                <w:sz w:val="20"/>
                <w:szCs w:val="20"/>
              </w:rPr>
            </w:pPr>
            <w:r w:rsidRPr="002D6F59">
              <w:rPr>
                <w:rFonts w:ascii="Century Gothic" w:hAnsi="Century Gothic" w:cs="Arial"/>
                <w:color w:val="404040"/>
                <w:sz w:val="20"/>
                <w:szCs w:val="20"/>
              </w:rPr>
              <w:t xml:space="preserve">Si información </w:t>
            </w:r>
          </w:p>
        </w:tc>
        <w:tc>
          <w:tcPr>
            <w:tcW w:w="1656" w:type="dxa"/>
            <w:shd w:val="clear" w:color="auto" w:fill="F2DBDB" w:themeFill="accent2" w:themeFillTint="33"/>
          </w:tcPr>
          <w:p w14:paraId="71D81F4A" w14:textId="0E9CE1CA" w:rsidR="00E83194" w:rsidRPr="002D6F59" w:rsidRDefault="00221FEB" w:rsidP="00B17AB2">
            <w:pPr>
              <w:spacing w:line="276" w:lineRule="auto"/>
              <w:jc w:val="center"/>
              <w:rPr>
                <w:rFonts w:ascii="Century Gothic" w:hAnsi="Century Gothic" w:cs="Arial"/>
                <w:color w:val="404040"/>
                <w:sz w:val="20"/>
                <w:szCs w:val="20"/>
              </w:rPr>
            </w:pPr>
            <w:r>
              <w:rPr>
                <w:rFonts w:ascii="Century Gothic" w:hAnsi="Century Gothic" w:cs="Arial"/>
                <w:color w:val="404040"/>
                <w:sz w:val="20"/>
                <w:szCs w:val="20"/>
              </w:rPr>
              <w:t>1</w:t>
            </w:r>
          </w:p>
        </w:tc>
      </w:tr>
      <w:tr w:rsidR="00E83194" w:rsidRPr="002D6F59" w14:paraId="309492B2" w14:textId="0B354DBA" w:rsidTr="00E83194">
        <w:trPr>
          <w:trHeight w:val="252"/>
          <w:jc w:val="center"/>
        </w:trPr>
        <w:tc>
          <w:tcPr>
            <w:tcW w:w="4576" w:type="dxa"/>
            <w:shd w:val="clear" w:color="auto" w:fill="F2DBDB" w:themeFill="accent2" w:themeFillTint="33"/>
          </w:tcPr>
          <w:p w14:paraId="6C599236" w14:textId="77777777" w:rsidR="00E83194" w:rsidRPr="002D6F59" w:rsidRDefault="00E83194" w:rsidP="00B17AB2">
            <w:pPr>
              <w:spacing w:line="276" w:lineRule="auto"/>
              <w:jc w:val="center"/>
              <w:rPr>
                <w:rFonts w:ascii="Century Gothic" w:hAnsi="Century Gothic" w:cs="Arial"/>
                <w:b/>
                <w:color w:val="404040"/>
                <w:sz w:val="20"/>
                <w:szCs w:val="20"/>
              </w:rPr>
            </w:pPr>
            <w:r w:rsidRPr="002D6F59">
              <w:rPr>
                <w:rFonts w:ascii="Century Gothic" w:hAnsi="Century Gothic" w:cs="Arial"/>
                <w:b/>
                <w:color w:val="404040"/>
                <w:sz w:val="20"/>
                <w:szCs w:val="20"/>
              </w:rPr>
              <w:t>TOTAL</w:t>
            </w:r>
          </w:p>
        </w:tc>
        <w:tc>
          <w:tcPr>
            <w:tcW w:w="1656" w:type="dxa"/>
            <w:shd w:val="clear" w:color="auto" w:fill="F2DBDB" w:themeFill="accent2" w:themeFillTint="33"/>
          </w:tcPr>
          <w:p w14:paraId="16F3908B" w14:textId="1A6F9597" w:rsidR="00E83194" w:rsidRPr="002D6F59" w:rsidRDefault="006F2487" w:rsidP="00B17AB2">
            <w:pPr>
              <w:spacing w:line="276" w:lineRule="auto"/>
              <w:jc w:val="center"/>
              <w:rPr>
                <w:rFonts w:ascii="Century Gothic" w:hAnsi="Century Gothic" w:cs="Arial"/>
                <w:b/>
                <w:color w:val="404040"/>
                <w:sz w:val="20"/>
                <w:szCs w:val="20"/>
              </w:rPr>
            </w:pPr>
            <w:r>
              <w:rPr>
                <w:rFonts w:ascii="Century Gothic" w:hAnsi="Century Gothic" w:cs="Arial"/>
                <w:b/>
                <w:color w:val="404040"/>
                <w:sz w:val="20"/>
                <w:szCs w:val="20"/>
              </w:rPr>
              <w:t>708</w:t>
            </w:r>
          </w:p>
        </w:tc>
      </w:tr>
    </w:tbl>
    <w:p w14:paraId="4ECC7F58" w14:textId="77777777" w:rsidR="009C0307" w:rsidRPr="002D6F59" w:rsidRDefault="009C0307" w:rsidP="00B17AB2">
      <w:pPr>
        <w:spacing w:line="276" w:lineRule="auto"/>
        <w:jc w:val="center"/>
        <w:rPr>
          <w:rStyle w:val="Hipervnculo"/>
          <w:rFonts w:ascii="Century Gothic" w:hAnsi="Century Gothic" w:cs="Arial"/>
          <w:sz w:val="18"/>
          <w:szCs w:val="18"/>
        </w:rPr>
      </w:pPr>
      <w:r w:rsidRPr="002D6F59">
        <w:rPr>
          <w:rFonts w:ascii="Century Gothic" w:hAnsi="Century Gothic" w:cs="Arial"/>
          <w:sz w:val="18"/>
          <w:szCs w:val="18"/>
          <w:lang w:val="es-CO" w:eastAsia="es-ES"/>
        </w:rPr>
        <w:t xml:space="preserve">Fuente: </w:t>
      </w:r>
      <w:hyperlink r:id="rId16" w:history="1">
        <w:r w:rsidRPr="002D6F59">
          <w:rPr>
            <w:rStyle w:val="Hipervnculo"/>
            <w:rFonts w:ascii="Century Gothic" w:hAnsi="Century Gothic" w:cs="Arial"/>
            <w:sz w:val="18"/>
            <w:szCs w:val="18"/>
          </w:rPr>
          <w:t>http://www.medicinalegal.gov.co/observatorio-de-violencia</w:t>
        </w:r>
      </w:hyperlink>
    </w:p>
    <w:p w14:paraId="61218AB2" w14:textId="301E84B4" w:rsidR="00887542" w:rsidRPr="002D6F59" w:rsidRDefault="00887542" w:rsidP="00B17AB2">
      <w:pPr>
        <w:spacing w:line="276" w:lineRule="auto"/>
        <w:jc w:val="both"/>
        <w:rPr>
          <w:rFonts w:ascii="Century Gothic" w:hAnsi="Century Gothic" w:cs="Arial"/>
        </w:rPr>
      </w:pPr>
    </w:p>
    <w:p w14:paraId="4CC5F385" w14:textId="3F3B4DB9" w:rsidR="00BC121A"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L</w:t>
      </w:r>
      <w:r w:rsidRPr="002D6F59">
        <w:rPr>
          <w:rFonts w:ascii="Century Gothic" w:hAnsi="Century Gothic" w:cs="Arial"/>
          <w:b/>
          <w:smallCaps/>
        </w:rPr>
        <w:t>A</w:t>
      </w:r>
      <w:r w:rsidRPr="002D6F59">
        <w:rPr>
          <w:rFonts w:ascii="Century Gothic" w:hAnsi="Century Gothic" w:cs="Arial"/>
          <w:b/>
        </w:rPr>
        <w:t xml:space="preserve"> PREVALENCIA DE LOS DERECHOS DE LOS NIÑOS, NIÑAS Y ADOLESCENTES EN LA CONSTITUCIÓN POLÍTICA Y EN LOS TRATADOS INTERNACIONALES</w:t>
      </w:r>
    </w:p>
    <w:p w14:paraId="611C0809" w14:textId="025A4BDA"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 xml:space="preserve">No puede perderse de vista que existen varios Instrumentos </w:t>
      </w:r>
      <w:r w:rsidR="002442EA" w:rsidRPr="002D6F59">
        <w:rPr>
          <w:rStyle w:val="s11"/>
          <w:rFonts w:ascii="Century Gothic" w:hAnsi="Century Gothic" w:cs="Arial"/>
          <w:color w:val="000000"/>
        </w:rPr>
        <w:t>internacionales que</w:t>
      </w:r>
      <w:r w:rsidRPr="002D6F59">
        <w:rPr>
          <w:rStyle w:val="s11"/>
          <w:rFonts w:ascii="Century Gothic" w:hAnsi="Century Gothic" w:cs="Arial"/>
          <w:color w:val="000000"/>
        </w:rPr>
        <w:t xml:space="preserve"> imponen a Colombia una serie de obligaciones de </w:t>
      </w:r>
      <w:r w:rsidR="002442EA" w:rsidRPr="002D6F59">
        <w:rPr>
          <w:rStyle w:val="s11"/>
          <w:rFonts w:ascii="Century Gothic" w:hAnsi="Century Gothic" w:cs="Arial"/>
          <w:color w:val="000000"/>
        </w:rPr>
        <w:t>protección de los niños niña y adolescente</w:t>
      </w:r>
      <w:r w:rsidRPr="002D6F59">
        <w:rPr>
          <w:rStyle w:val="s11"/>
          <w:rFonts w:ascii="Century Gothic" w:hAnsi="Century Gothic" w:cs="Arial"/>
          <w:color w:val="000000"/>
        </w:rPr>
        <w:t>. Entre los más importantes están la Convención sobre los Derechos del Niño, el Pacto Internacional de Derechos Civiles y Políticos, la Convención Americana de Derechos Humanos, el Pacto Internacional de Derechos Económicos, Sociales y Culturales, la Declaración de las Naciones Unidas sobre los Derechos del Niño y la Declaración Universal de Derechos Humanos.</w:t>
      </w:r>
    </w:p>
    <w:p w14:paraId="0B6D2F7E" w14:textId="77777777" w:rsidR="00BC121A" w:rsidRPr="002D6F59" w:rsidRDefault="00BC121A" w:rsidP="005627A0">
      <w:pPr>
        <w:pStyle w:val="s10"/>
        <w:spacing w:before="0" w:beforeAutospacing="0" w:after="0" w:afterAutospacing="0"/>
        <w:jc w:val="both"/>
        <w:rPr>
          <w:rStyle w:val="s11"/>
          <w:rFonts w:ascii="Century Gothic" w:hAnsi="Century Gothic" w:cs="Arial"/>
          <w:color w:val="000000"/>
        </w:rPr>
      </w:pPr>
      <w:r w:rsidRPr="002D6F59">
        <w:rPr>
          <w:rStyle w:val="s11"/>
          <w:rFonts w:ascii="Century Gothic" w:hAnsi="Century Gothic" w:cs="Arial"/>
          <w:color w:val="000000"/>
        </w:rPr>
        <w:t xml:space="preserve"> </w:t>
      </w:r>
    </w:p>
    <w:p w14:paraId="76C3AFAA" w14:textId="3535337E"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Todos estos tratados internacionales imponen a Colombia el deber de proteger de manera efectiva los bienes jurídicos de los menores, así como también el prevenir y castigar de forma oportuna las afectaciones a tales derechos. De igual fo</w:t>
      </w:r>
      <w:r w:rsidR="002E4C81" w:rsidRPr="002D6F59">
        <w:rPr>
          <w:rStyle w:val="s11"/>
          <w:rFonts w:ascii="Century Gothic" w:hAnsi="Century Gothic" w:cs="Arial"/>
          <w:color w:val="000000"/>
        </w:rPr>
        <w:t>rma, estos instrumentos recalcan</w:t>
      </w:r>
      <w:r w:rsidRPr="002D6F59">
        <w:rPr>
          <w:rStyle w:val="s11"/>
          <w:rFonts w:ascii="Century Gothic" w:hAnsi="Century Gothic" w:cs="Arial"/>
          <w:color w:val="000000"/>
        </w:rPr>
        <w:t xml:space="preserve"> la prev</w:t>
      </w:r>
      <w:r w:rsidR="002E4C81" w:rsidRPr="002D6F59">
        <w:rPr>
          <w:rStyle w:val="s11"/>
          <w:rFonts w:ascii="Century Gothic" w:hAnsi="Century Gothic" w:cs="Arial"/>
          <w:color w:val="000000"/>
        </w:rPr>
        <w:t>alencia del interés del menor, f</w:t>
      </w:r>
      <w:r w:rsidRPr="002D6F59">
        <w:rPr>
          <w:rStyle w:val="s11"/>
          <w:rFonts w:ascii="Century Gothic" w:hAnsi="Century Gothic" w:cs="Arial"/>
          <w:color w:val="000000"/>
        </w:rPr>
        <w:t>rente a otros derechos, dentro de los cuales están los de las personas procesadas y condenadas. Es así como la Convención sobre los Derechos del Niño consagra:</w:t>
      </w:r>
    </w:p>
    <w:p w14:paraId="4C37041E" w14:textId="77777777" w:rsidR="00BC121A" w:rsidRPr="002D6F59" w:rsidRDefault="00BC121A" w:rsidP="00900DCE">
      <w:pPr>
        <w:pStyle w:val="s10"/>
        <w:spacing w:before="0" w:beforeAutospacing="0" w:after="0" w:afterAutospacing="0"/>
        <w:jc w:val="both"/>
        <w:rPr>
          <w:rStyle w:val="s11"/>
          <w:rFonts w:ascii="Century Gothic" w:hAnsi="Century Gothic" w:cs="Arial"/>
          <w:color w:val="000000"/>
        </w:rPr>
      </w:pPr>
    </w:p>
    <w:p w14:paraId="75A5DA5F" w14:textId="77777777" w:rsidR="00BC121A" w:rsidRPr="002D6F59" w:rsidRDefault="00BC121A" w:rsidP="00B17AB2">
      <w:pPr>
        <w:pStyle w:val="s10"/>
        <w:spacing w:before="0" w:beforeAutospacing="0" w:after="0" w:afterAutospacing="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Artículo 3</w:t>
      </w:r>
    </w:p>
    <w:p w14:paraId="76B768CB"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 xml:space="preserve">1. En todas las medidas concernientes a los niños que tomen las instituciones públicas o privadas de bienestar social, </w:t>
      </w:r>
      <w:r w:rsidRPr="002D6F59">
        <w:rPr>
          <w:rFonts w:ascii="Century Gothic" w:hAnsi="Century Gothic" w:cs="Arial"/>
          <w:i/>
          <w:color w:val="000000"/>
          <w:sz w:val="20"/>
          <w:szCs w:val="20"/>
          <w:u w:val="single"/>
          <w:lang w:val="es-ES_tradnl"/>
        </w:rPr>
        <w:t>los tribunales</w:t>
      </w:r>
      <w:r w:rsidRPr="002D6F59">
        <w:rPr>
          <w:rFonts w:ascii="Century Gothic" w:hAnsi="Century Gothic" w:cs="Arial"/>
          <w:i/>
          <w:color w:val="000000"/>
          <w:sz w:val="20"/>
          <w:szCs w:val="20"/>
          <w:lang w:val="es-ES_tradnl"/>
        </w:rPr>
        <w:t xml:space="preserve">, las autoridades administrativas </w:t>
      </w:r>
      <w:r w:rsidRPr="002D6F59">
        <w:rPr>
          <w:rFonts w:ascii="Century Gothic" w:hAnsi="Century Gothic" w:cs="Arial"/>
          <w:i/>
          <w:color w:val="000000"/>
          <w:sz w:val="20"/>
          <w:szCs w:val="20"/>
          <w:u w:val="single"/>
          <w:lang w:val="es-ES_tradnl"/>
        </w:rPr>
        <w:t>o los órganos legislativos</w:t>
      </w:r>
      <w:r w:rsidRPr="002D6F59">
        <w:rPr>
          <w:rFonts w:ascii="Century Gothic" w:hAnsi="Century Gothic" w:cs="Arial"/>
          <w:i/>
          <w:color w:val="000000"/>
          <w:sz w:val="20"/>
          <w:szCs w:val="20"/>
          <w:lang w:val="es-ES_tradnl"/>
        </w:rPr>
        <w:t>, una consideración primordial a que se atenderá será el interés superior del niño. (subrayado fuera de texto)</w:t>
      </w:r>
    </w:p>
    <w:p w14:paraId="753C1E5E"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lastRenderedPageBreak/>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1EC67AFC" w14:textId="77777777" w:rsidR="00A4664D" w:rsidRPr="002D6F59" w:rsidRDefault="00BC121A" w:rsidP="00A4664D">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w:t>
      </w:r>
    </w:p>
    <w:p w14:paraId="468C7D1A" w14:textId="0DAC1C4D" w:rsidR="00BC121A" w:rsidRPr="002D6F59" w:rsidRDefault="00BC121A" w:rsidP="00900DCE">
      <w:pPr>
        <w:pStyle w:val="s10"/>
        <w:spacing w:after="0" w:line="276" w:lineRule="auto"/>
        <w:ind w:right="-93"/>
        <w:jc w:val="both"/>
        <w:rPr>
          <w:rStyle w:val="s11"/>
          <w:rFonts w:ascii="Century Gothic" w:hAnsi="Century Gothic" w:cs="Arial"/>
          <w:i/>
          <w:color w:val="000000"/>
          <w:sz w:val="20"/>
          <w:szCs w:val="20"/>
          <w:lang w:val="es-ES_tradnl"/>
        </w:rPr>
      </w:pPr>
      <w:r w:rsidRPr="002D6F59">
        <w:rPr>
          <w:rStyle w:val="s11"/>
          <w:rFonts w:ascii="Century Gothic" w:hAnsi="Century Gothic" w:cs="Arial"/>
          <w:color w:val="000000"/>
        </w:rPr>
        <w:t>El artículo 19 de este instrumento internacional, compele a los Estados que, como Colombia, lo han ratificado, a proteger a los menores de cualquier forma de abuso, especialmente cuando se afectan su integridad sexual, a través de todas las medidas posibles, incluidas las legislativas:</w:t>
      </w:r>
    </w:p>
    <w:p w14:paraId="16A826B7" w14:textId="77777777" w:rsidR="00BC121A" w:rsidRPr="002D6F59" w:rsidRDefault="00BC121A" w:rsidP="00B17AB2">
      <w:pPr>
        <w:pStyle w:val="s10"/>
        <w:spacing w:before="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Artículo 19</w:t>
      </w:r>
    </w:p>
    <w:p w14:paraId="4BE1ECE8" w14:textId="77777777" w:rsidR="00BC121A" w:rsidRPr="002D6F59" w:rsidRDefault="00BC121A" w:rsidP="00B17AB2">
      <w:pPr>
        <w:pStyle w:val="s10"/>
        <w:spacing w:after="0" w:line="276" w:lineRule="auto"/>
        <w:ind w:left="426" w:right="474"/>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 xml:space="preserve">1. Los Estados Partes adoptarán todas las </w:t>
      </w:r>
      <w:r w:rsidRPr="002D6F59">
        <w:rPr>
          <w:rFonts w:ascii="Century Gothic" w:hAnsi="Century Gothic" w:cs="Arial"/>
          <w:i/>
          <w:color w:val="000000"/>
          <w:sz w:val="20"/>
          <w:szCs w:val="20"/>
          <w:u w:val="single"/>
          <w:lang w:val="es-ES_tradnl"/>
        </w:rPr>
        <w:t>medidas legislativas</w:t>
      </w:r>
      <w:r w:rsidRPr="002D6F59">
        <w:rPr>
          <w:rFonts w:ascii="Century Gothic" w:hAnsi="Century Gothic" w:cs="Arial"/>
          <w:i/>
          <w:color w:val="000000"/>
          <w:sz w:val="20"/>
          <w:szCs w:val="20"/>
          <w:lang w:val="es-ES_tradnl"/>
        </w:rPr>
        <w:t xml:space="preserve">, administrativas, sociales y educativas apropiadas para proteger al niño contra toda forma de perjuicio o abuso físico o mental, descuido o trato negligente, malos tratos o explotación, </w:t>
      </w:r>
      <w:r w:rsidRPr="002D6F59">
        <w:rPr>
          <w:rFonts w:ascii="Century Gothic" w:hAnsi="Century Gothic" w:cs="Arial"/>
          <w:i/>
          <w:color w:val="000000"/>
          <w:sz w:val="20"/>
          <w:szCs w:val="20"/>
          <w:u w:val="single"/>
          <w:lang w:val="es-ES_tradnl"/>
        </w:rPr>
        <w:t>incluido el abuso sexual</w:t>
      </w:r>
      <w:r w:rsidRPr="002D6F59">
        <w:rPr>
          <w:rFonts w:ascii="Century Gothic" w:hAnsi="Century Gothic" w:cs="Arial"/>
          <w:i/>
          <w:color w:val="000000"/>
          <w:sz w:val="20"/>
          <w:szCs w:val="20"/>
          <w:lang w:val="es-ES_tradnl"/>
        </w:rPr>
        <w:t xml:space="preserve">, mientras el niño se encuentre bajo la custodia de los padres, de un representante legal o de cualquier otra persona que lo tenga a su cargo </w:t>
      </w:r>
      <w:r w:rsidRPr="002D6F59">
        <w:rPr>
          <w:rFonts w:ascii="Century Gothic" w:hAnsi="Century Gothic" w:cs="Arial"/>
          <w:color w:val="000000"/>
          <w:sz w:val="20"/>
          <w:szCs w:val="20"/>
          <w:lang w:val="es-ES_tradnl"/>
        </w:rPr>
        <w:t>(subrayado fuera de texto)</w:t>
      </w:r>
      <w:r w:rsidRPr="002D6F59">
        <w:rPr>
          <w:rFonts w:ascii="Century Gothic" w:hAnsi="Century Gothic" w:cs="Arial"/>
          <w:i/>
          <w:color w:val="000000"/>
          <w:sz w:val="20"/>
          <w:szCs w:val="20"/>
          <w:lang w:val="es-ES_tradnl"/>
        </w:rPr>
        <w:t>.</w:t>
      </w:r>
    </w:p>
    <w:p w14:paraId="354A637D"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De igual forma el Informe Mundial de la UNICEF sobre la Violencia contra los Niños, Niñas y Adolescentes, realizó la siguiente recomendación:</w:t>
      </w:r>
    </w:p>
    <w:p w14:paraId="01D778C6" w14:textId="77777777" w:rsidR="00BC121A" w:rsidRPr="002D6F59" w:rsidRDefault="00BC121A" w:rsidP="00B17AB2">
      <w:pPr>
        <w:pStyle w:val="s10"/>
        <w:spacing w:line="276" w:lineRule="auto"/>
        <w:ind w:left="426" w:right="332"/>
        <w:jc w:val="both"/>
        <w:rPr>
          <w:rFonts w:ascii="Century Gothic" w:hAnsi="Century Gothic" w:cs="Arial"/>
          <w:color w:val="000000"/>
          <w:sz w:val="20"/>
          <w:szCs w:val="20"/>
          <w:lang w:val="es-ES_tradnl"/>
        </w:rPr>
      </w:pPr>
      <w:r w:rsidRPr="002D6F59">
        <w:rPr>
          <w:rFonts w:ascii="Century Gothic" w:hAnsi="Century Gothic" w:cs="Arial"/>
          <w:b/>
          <w:bCs/>
          <w:color w:val="000000"/>
          <w:sz w:val="20"/>
          <w:szCs w:val="20"/>
          <w:lang w:val="es-ES_tradnl"/>
        </w:rPr>
        <w:t>“9. Asegurar la rendición de cuentas y poner fin a la impunidad</w:t>
      </w:r>
    </w:p>
    <w:p w14:paraId="4240E68C" w14:textId="77777777" w:rsidR="00BC121A" w:rsidRPr="002D6F59" w:rsidRDefault="00BC121A" w:rsidP="00B17AB2">
      <w:pPr>
        <w:pStyle w:val="s10"/>
        <w:spacing w:line="276" w:lineRule="auto"/>
        <w:ind w:left="426" w:right="332"/>
        <w:jc w:val="both"/>
        <w:rPr>
          <w:rFonts w:ascii="Century Gothic" w:hAnsi="Century Gothic" w:cs="Arial"/>
          <w:bCs/>
          <w:iCs/>
          <w:color w:val="000000"/>
          <w:sz w:val="20"/>
          <w:szCs w:val="20"/>
          <w:lang w:val="es-ES_tradnl"/>
        </w:rPr>
      </w:pPr>
      <w:r w:rsidRPr="002D6F59">
        <w:rPr>
          <w:rFonts w:ascii="Century Gothic" w:hAnsi="Century Gothic" w:cs="Arial"/>
          <w:bCs/>
          <w:i/>
          <w:iCs/>
          <w:color w:val="000000"/>
          <w:sz w:val="20"/>
          <w:szCs w:val="20"/>
          <w:lang w:val="es-ES_tradnl"/>
        </w:rPr>
        <w:t xml:space="preserve">Recomiendo que los Estados aumenten la confianza de la comunidad en el sistema de justicia haciendo que todos los que cometan actos de violencia contra los niños rindan cuentas ante la justicia y </w:t>
      </w:r>
      <w:r w:rsidRPr="002D6F59">
        <w:rPr>
          <w:rFonts w:ascii="Century Gothic" w:hAnsi="Century Gothic" w:cs="Arial"/>
          <w:bCs/>
          <w:i/>
          <w:iCs/>
          <w:color w:val="000000"/>
          <w:sz w:val="20"/>
          <w:szCs w:val="20"/>
          <w:u w:val="single"/>
          <w:lang w:val="es-ES_tradnl"/>
        </w:rPr>
        <w:t>garantizando que se les responsabiliza de sus actos mediante procedimientos y sanciones penales, civiles, administrativas y profesionales apropiadas</w:t>
      </w:r>
      <w:r w:rsidRPr="002D6F59">
        <w:rPr>
          <w:rFonts w:ascii="Century Gothic" w:hAnsi="Century Gothic" w:cs="Arial"/>
          <w:bCs/>
          <w:i/>
          <w:iCs/>
          <w:color w:val="000000"/>
          <w:sz w:val="20"/>
          <w:szCs w:val="20"/>
          <w:lang w:val="es-ES_tradnl"/>
        </w:rPr>
        <w:t xml:space="preserve">. Se debe impedir que trabajen con niños personas culpables de delitos violentos y abusos sexuales contra los niños. </w:t>
      </w:r>
      <w:r w:rsidRPr="002D6F59">
        <w:rPr>
          <w:rFonts w:ascii="Century Gothic" w:hAnsi="Century Gothic" w:cs="Arial"/>
          <w:bCs/>
          <w:iCs/>
          <w:color w:val="000000"/>
          <w:sz w:val="20"/>
          <w:szCs w:val="20"/>
          <w:lang w:val="es-ES_tradnl"/>
        </w:rPr>
        <w:t>(Subrayado fuera de texto)</w:t>
      </w:r>
      <w:r w:rsidRPr="002D6F59">
        <w:rPr>
          <w:rStyle w:val="Refdenotaalpie"/>
          <w:rFonts w:ascii="Century Gothic" w:hAnsi="Century Gothic" w:cs="Arial"/>
          <w:bCs/>
          <w:iCs/>
          <w:color w:val="000000"/>
          <w:sz w:val="20"/>
          <w:szCs w:val="20"/>
          <w:lang w:val="es-ES_tradnl"/>
        </w:rPr>
        <w:footnoteReference w:id="3"/>
      </w:r>
      <w:r w:rsidRPr="002D6F59">
        <w:rPr>
          <w:rFonts w:ascii="Century Gothic" w:hAnsi="Century Gothic" w:cs="Arial"/>
          <w:bCs/>
          <w:iCs/>
          <w:color w:val="000000"/>
          <w:sz w:val="20"/>
          <w:szCs w:val="20"/>
          <w:lang w:val="es-ES_tradnl"/>
        </w:rPr>
        <w:t>.</w:t>
      </w:r>
    </w:p>
    <w:p w14:paraId="4ED95F8E" w14:textId="7E564C0A" w:rsidR="00BC121A" w:rsidRPr="002D6F59" w:rsidRDefault="00BC121A" w:rsidP="00B17AB2">
      <w:pPr>
        <w:pStyle w:val="s10"/>
        <w:spacing w:line="276" w:lineRule="auto"/>
        <w:jc w:val="both"/>
        <w:rPr>
          <w:rStyle w:val="s11"/>
          <w:rFonts w:ascii="Century Gothic" w:hAnsi="Century Gothic" w:cs="Arial"/>
          <w:bCs/>
          <w:iCs/>
          <w:color w:val="000000"/>
          <w:lang w:val="es-ES_tradnl"/>
        </w:rPr>
      </w:pPr>
      <w:r w:rsidRPr="002D6F59">
        <w:rPr>
          <w:rFonts w:ascii="Century Gothic" w:hAnsi="Century Gothic" w:cs="Arial"/>
          <w:bCs/>
          <w:iCs/>
          <w:color w:val="000000"/>
          <w:lang w:val="es-ES_tradnl"/>
        </w:rPr>
        <w:t xml:space="preserve">El presente Proyecto de Acto Legislativo cumple con estos estándares y recomendaciones internacionales, ya que la </w:t>
      </w:r>
      <w:r w:rsidR="00F73832">
        <w:rPr>
          <w:rFonts w:ascii="Century Gothic" w:hAnsi="Century Gothic" w:cs="Arial"/>
          <w:bCs/>
          <w:iCs/>
          <w:color w:val="000000"/>
          <w:lang w:val="es-ES_tradnl"/>
        </w:rPr>
        <w:t>prisión</w:t>
      </w:r>
      <w:r w:rsidRPr="002D6F59">
        <w:rPr>
          <w:rFonts w:ascii="Century Gothic" w:hAnsi="Century Gothic" w:cs="Arial"/>
          <w:bCs/>
          <w:iCs/>
          <w:color w:val="000000"/>
          <w:lang w:val="es-ES_tradnl"/>
        </w:rPr>
        <w:t xml:space="preserve"> perpetua es, como se verá más adelante, </w:t>
      </w:r>
      <w:r w:rsidR="00F73832">
        <w:rPr>
          <w:rFonts w:ascii="Century Gothic" w:hAnsi="Century Gothic" w:cs="Arial"/>
          <w:bCs/>
          <w:iCs/>
          <w:color w:val="000000"/>
          <w:lang w:val="es-ES_tradnl"/>
        </w:rPr>
        <w:t xml:space="preserve">es </w:t>
      </w:r>
      <w:r w:rsidRPr="002D6F59">
        <w:rPr>
          <w:rFonts w:ascii="Century Gothic" w:hAnsi="Century Gothic" w:cs="Arial"/>
          <w:bCs/>
          <w:iCs/>
          <w:color w:val="000000"/>
          <w:lang w:val="es-ES_tradnl"/>
        </w:rPr>
        <w:t xml:space="preserve">una medida legislativa proporcional y efectiva para proteger los derechos de los menores. En otras palabras, con este acto </w:t>
      </w:r>
      <w:r w:rsidR="002442EA" w:rsidRPr="002D6F59">
        <w:rPr>
          <w:rFonts w:ascii="Century Gothic" w:hAnsi="Century Gothic" w:cs="Arial"/>
          <w:bCs/>
          <w:iCs/>
          <w:color w:val="000000"/>
          <w:lang w:val="es-ES_tradnl"/>
        </w:rPr>
        <w:t>legislativo</w:t>
      </w:r>
      <w:r w:rsidR="00542732">
        <w:rPr>
          <w:rFonts w:ascii="Century Gothic" w:hAnsi="Century Gothic" w:cs="Arial"/>
          <w:bCs/>
          <w:iCs/>
          <w:color w:val="000000"/>
          <w:lang w:val="es-ES_tradnl"/>
        </w:rPr>
        <w:t xml:space="preserve"> </w:t>
      </w:r>
      <w:r w:rsidR="002442EA" w:rsidRPr="002D6F59">
        <w:rPr>
          <w:rFonts w:ascii="Century Gothic" w:hAnsi="Century Gothic" w:cs="Arial"/>
          <w:bCs/>
          <w:iCs/>
          <w:color w:val="000000"/>
          <w:lang w:val="es-ES_tradnl"/>
        </w:rPr>
        <w:lastRenderedPageBreak/>
        <w:t>Colombia</w:t>
      </w:r>
      <w:r w:rsidRPr="002D6F59">
        <w:rPr>
          <w:rFonts w:ascii="Century Gothic" w:hAnsi="Century Gothic" w:cs="Arial"/>
          <w:bCs/>
          <w:iCs/>
          <w:color w:val="000000"/>
          <w:lang w:val="es-ES_tradnl"/>
        </w:rPr>
        <w:t xml:space="preserve"> está cumpliendo con las obligaciones de carácter internacional frente a la protección de los niños, niñas y adolescentes.</w:t>
      </w:r>
    </w:p>
    <w:p w14:paraId="04339B23" w14:textId="6863C1C5"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Pero no sólo son los tratados internacio</w:t>
      </w:r>
      <w:r w:rsidR="002E4C81" w:rsidRPr="002D6F59">
        <w:rPr>
          <w:rStyle w:val="s11"/>
          <w:rFonts w:ascii="Century Gothic" w:hAnsi="Century Gothic" w:cs="Arial"/>
          <w:color w:val="000000"/>
        </w:rPr>
        <w:t>nales ratificados por Colombia y</w:t>
      </w:r>
      <w:r w:rsidRPr="002D6F59">
        <w:rPr>
          <w:rStyle w:val="s11"/>
          <w:rFonts w:ascii="Century Gothic" w:hAnsi="Century Gothic" w:cs="Arial"/>
          <w:color w:val="000000"/>
        </w:rPr>
        <w:t xml:space="preserve"> que hacen parte del bloque de constitucionalidad, los que </w:t>
      </w:r>
      <w:r w:rsidR="002E4C81" w:rsidRPr="002D6F59">
        <w:rPr>
          <w:rStyle w:val="s11"/>
          <w:rFonts w:ascii="Century Gothic" w:hAnsi="Century Gothic" w:cs="Arial"/>
          <w:color w:val="000000"/>
        </w:rPr>
        <w:t>establecen</w:t>
      </w:r>
      <w:r w:rsidRPr="002D6F59">
        <w:rPr>
          <w:rStyle w:val="s11"/>
          <w:rFonts w:ascii="Century Gothic" w:hAnsi="Century Gothic" w:cs="Arial"/>
          <w:color w:val="000000"/>
        </w:rPr>
        <w:t xml:space="preserve"> la prevalencia de los intereses de los menores. Es así como el artículo 44 de la </w:t>
      </w:r>
      <w:r w:rsidR="00F73832" w:rsidRPr="002D6F59">
        <w:rPr>
          <w:rStyle w:val="s11"/>
          <w:rFonts w:ascii="Century Gothic" w:hAnsi="Century Gothic" w:cs="Arial"/>
          <w:color w:val="000000"/>
        </w:rPr>
        <w:t>Carta Política</w:t>
      </w:r>
      <w:r w:rsidR="002E4C81" w:rsidRPr="002D6F59">
        <w:rPr>
          <w:rStyle w:val="s11"/>
          <w:rFonts w:ascii="Century Gothic" w:hAnsi="Century Gothic" w:cs="Arial"/>
          <w:color w:val="000000"/>
        </w:rPr>
        <w:t>, dispone</w:t>
      </w:r>
      <w:r w:rsidRPr="002D6F59">
        <w:rPr>
          <w:rStyle w:val="s11"/>
          <w:rFonts w:ascii="Century Gothic" w:hAnsi="Century Gothic" w:cs="Arial"/>
          <w:color w:val="000000"/>
        </w:rPr>
        <w:t>:</w:t>
      </w:r>
    </w:p>
    <w:p w14:paraId="4AD34B4E" w14:textId="77777777"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p>
    <w:p w14:paraId="26FCD504"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bookmarkStart w:id="6" w:name="44"/>
      <w:r w:rsidRPr="002D6F59">
        <w:rPr>
          <w:rFonts w:ascii="Century Gothic" w:hAnsi="Century Gothic" w:cs="Arial"/>
          <w:b/>
          <w:bCs/>
          <w:i/>
          <w:color w:val="000000"/>
          <w:sz w:val="20"/>
          <w:szCs w:val="20"/>
          <w:lang w:val="es-ES_tradnl"/>
        </w:rPr>
        <w:t>ARTICULO 44. </w:t>
      </w:r>
      <w:bookmarkEnd w:id="6"/>
      <w:r w:rsidRPr="002D6F59">
        <w:rPr>
          <w:rFonts w:ascii="Century Gothic" w:hAnsi="Century Gothic" w:cs="Arial"/>
          <w:i/>
          <w:color w:val="000000"/>
          <w:sz w:val="20"/>
          <w:szCs w:val="20"/>
          <w:lang w:val="es-ES_tradnl"/>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4C84C096"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p>
    <w:p w14:paraId="1BDD14EF"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0B78D185" w14:textId="77777777" w:rsidR="00BC121A" w:rsidRPr="002D6F59" w:rsidRDefault="00BC121A" w:rsidP="00B17AB2">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p>
    <w:p w14:paraId="06A03C8E" w14:textId="3E9329A2" w:rsidR="005627A0" w:rsidRDefault="00BC121A" w:rsidP="005627A0">
      <w:pPr>
        <w:pStyle w:val="s10"/>
        <w:spacing w:before="0" w:beforeAutospacing="0" w:after="0" w:afterAutospacing="0" w:line="276" w:lineRule="auto"/>
        <w:ind w:left="426" w:right="332"/>
        <w:jc w:val="both"/>
        <w:rPr>
          <w:rFonts w:ascii="Century Gothic" w:hAnsi="Century Gothic" w:cs="Arial"/>
          <w:i/>
          <w:color w:val="000000"/>
          <w:sz w:val="20"/>
          <w:szCs w:val="20"/>
          <w:lang w:val="es-ES_tradnl"/>
        </w:rPr>
      </w:pPr>
      <w:r w:rsidRPr="002D6F59">
        <w:rPr>
          <w:rFonts w:ascii="Century Gothic" w:hAnsi="Century Gothic" w:cs="Arial"/>
          <w:i/>
          <w:color w:val="000000"/>
          <w:sz w:val="20"/>
          <w:szCs w:val="20"/>
          <w:lang w:val="es-ES_tradnl"/>
        </w:rPr>
        <w:t>Los derechos de los niños prevalecen s</w:t>
      </w:r>
      <w:r w:rsidR="005627A0">
        <w:rPr>
          <w:rFonts w:ascii="Century Gothic" w:hAnsi="Century Gothic" w:cs="Arial"/>
          <w:i/>
          <w:color w:val="000000"/>
          <w:sz w:val="20"/>
          <w:szCs w:val="20"/>
          <w:lang w:val="es-ES_tradnl"/>
        </w:rPr>
        <w:t>obre los derechos de los demás.</w:t>
      </w:r>
    </w:p>
    <w:p w14:paraId="2EB112BB" w14:textId="77777777" w:rsidR="005627A0" w:rsidRPr="005627A0" w:rsidRDefault="005627A0" w:rsidP="005627A0">
      <w:pPr>
        <w:pStyle w:val="s10"/>
        <w:spacing w:before="0" w:beforeAutospacing="0" w:after="0" w:afterAutospacing="0"/>
        <w:jc w:val="both"/>
        <w:rPr>
          <w:rStyle w:val="s11"/>
          <w:rFonts w:ascii="Century Gothic" w:hAnsi="Century Gothic" w:cs="Arial"/>
          <w:i/>
          <w:color w:val="000000"/>
          <w:sz w:val="20"/>
          <w:szCs w:val="20"/>
          <w:lang w:val="es-ES_tradnl"/>
        </w:rPr>
      </w:pPr>
    </w:p>
    <w:p w14:paraId="3526D60C" w14:textId="0DB55D7B" w:rsidR="00BC121A" w:rsidRPr="002D6F59" w:rsidRDefault="00BC121A" w:rsidP="00B17AB2">
      <w:pPr>
        <w:pStyle w:val="s22"/>
        <w:spacing w:before="0" w:beforeAutospacing="0" w:after="0" w:afterAutospacing="0" w:line="276" w:lineRule="auto"/>
        <w:ind w:right="30"/>
        <w:jc w:val="both"/>
        <w:rPr>
          <w:rStyle w:val="s11"/>
          <w:rFonts w:ascii="Century Gothic" w:hAnsi="Century Gothic" w:cs="Arial"/>
          <w:color w:val="000000"/>
        </w:rPr>
      </w:pPr>
      <w:r w:rsidRPr="002D6F59">
        <w:rPr>
          <w:rStyle w:val="s11"/>
          <w:rFonts w:ascii="Century Gothic" w:hAnsi="Century Gothic" w:cs="Arial"/>
          <w:color w:val="000000"/>
        </w:rPr>
        <w:t>Como lo ha sostenido la Corte Constitucional</w:t>
      </w:r>
      <w:r w:rsidR="002442EA" w:rsidRPr="002D6F59">
        <w:rPr>
          <w:rStyle w:val="s11"/>
          <w:rFonts w:ascii="Century Gothic" w:hAnsi="Century Gothic" w:cs="Arial"/>
          <w:color w:val="000000"/>
        </w:rPr>
        <w:t>, en</w:t>
      </w:r>
      <w:r w:rsidRPr="002D6F59">
        <w:rPr>
          <w:rStyle w:val="s11"/>
          <w:rFonts w:ascii="Century Gothic" w:hAnsi="Century Gothic" w:cs="Arial"/>
          <w:color w:val="000000"/>
        </w:rPr>
        <w:t xml:space="preserve"> desarrollo el artículo mencionado, los delitos que afectan la libertad e integridad sexual de los menores son una fuente de riesgo a varios derechos fundamental</w:t>
      </w:r>
      <w:r w:rsidR="002E4C81" w:rsidRPr="002D6F59">
        <w:rPr>
          <w:rStyle w:val="s11"/>
          <w:rFonts w:ascii="Century Gothic" w:hAnsi="Century Gothic" w:cs="Arial"/>
          <w:color w:val="000000"/>
        </w:rPr>
        <w:t>es</w:t>
      </w:r>
      <w:r w:rsidRPr="002D6F59">
        <w:rPr>
          <w:rStyle w:val="s11"/>
          <w:rFonts w:ascii="Century Gothic" w:hAnsi="Century Gothic" w:cs="Arial"/>
          <w:color w:val="000000"/>
        </w:rPr>
        <w:t xml:space="preserve">, tales como la vida en condiciones dignas, la libertad, la </w:t>
      </w:r>
      <w:r w:rsidR="002442EA" w:rsidRPr="002D6F59">
        <w:rPr>
          <w:rStyle w:val="s11"/>
          <w:rFonts w:ascii="Century Gothic" w:hAnsi="Century Gothic" w:cs="Arial"/>
          <w:color w:val="000000"/>
        </w:rPr>
        <w:t>igualdad</w:t>
      </w:r>
      <w:r w:rsidRPr="002D6F59">
        <w:rPr>
          <w:rStyle w:val="s11"/>
          <w:rFonts w:ascii="Century Gothic" w:hAnsi="Century Gothic" w:cs="Arial"/>
          <w:color w:val="000000"/>
        </w:rPr>
        <w:t xml:space="preserve">, la integridad personal.  En específico la </w:t>
      </w:r>
      <w:r w:rsidR="00F73832">
        <w:rPr>
          <w:rStyle w:val="s11"/>
          <w:rFonts w:ascii="Century Gothic" w:hAnsi="Century Gothic" w:cs="Arial"/>
          <w:color w:val="000000"/>
        </w:rPr>
        <w:t>C</w:t>
      </w:r>
      <w:r w:rsidRPr="002D6F59">
        <w:rPr>
          <w:rStyle w:val="s11"/>
          <w:rFonts w:ascii="Century Gothic" w:hAnsi="Century Gothic" w:cs="Arial"/>
          <w:color w:val="000000"/>
        </w:rPr>
        <w:t>orte insiste en</w:t>
      </w:r>
      <w:r w:rsidR="00F73832">
        <w:rPr>
          <w:rStyle w:val="s11"/>
          <w:rFonts w:ascii="Century Gothic" w:hAnsi="Century Gothic" w:cs="Arial"/>
          <w:color w:val="000000"/>
        </w:rPr>
        <w:t xml:space="preserve"> que</w:t>
      </w:r>
      <w:r w:rsidRPr="002D6F59">
        <w:rPr>
          <w:rStyle w:val="s11"/>
          <w:rFonts w:ascii="Century Gothic" w:hAnsi="Century Gothic" w:cs="Arial"/>
          <w:color w:val="000000"/>
        </w:rPr>
        <w:t xml:space="preserve"> </w:t>
      </w:r>
      <w:r w:rsidRPr="002D6F59">
        <w:rPr>
          <w:rStyle w:val="s11"/>
          <w:rFonts w:ascii="Century Gothic" w:hAnsi="Century Gothic" w:cs="Arial"/>
          <w:b/>
          <w:i/>
          <w:color w:val="000000"/>
        </w:rPr>
        <w:t>“el Estado tiene la obligación de actuar con la mayor diligencia en su investigación, juzgamiento y sanción”</w:t>
      </w:r>
      <w:r w:rsidRPr="002D6F59">
        <w:rPr>
          <w:rStyle w:val="Refdenotaalpie"/>
          <w:rFonts w:ascii="Century Gothic" w:hAnsi="Century Gothic" w:cs="Arial"/>
          <w:b/>
          <w:i/>
          <w:color w:val="000000"/>
        </w:rPr>
        <w:footnoteReference w:id="4"/>
      </w:r>
      <w:r w:rsidRPr="002D6F59">
        <w:rPr>
          <w:rStyle w:val="s11"/>
          <w:rFonts w:ascii="Century Gothic" w:hAnsi="Century Gothic" w:cs="Arial"/>
          <w:b/>
          <w:i/>
          <w:color w:val="000000"/>
        </w:rPr>
        <w:t xml:space="preserve">. </w:t>
      </w:r>
      <w:r w:rsidRPr="002D6F59">
        <w:rPr>
          <w:rStyle w:val="s11"/>
          <w:rFonts w:ascii="Century Gothic" w:hAnsi="Century Gothic" w:cs="Arial"/>
          <w:color w:val="000000"/>
        </w:rPr>
        <w:t>(Subrayado y negrilla fuera de texto).</w:t>
      </w:r>
    </w:p>
    <w:p w14:paraId="2DEE4B06" w14:textId="5D390B8A"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Así las cosas, del mencionado artículo 44 se deducen algunos</w:t>
      </w:r>
      <w:r w:rsidR="002E4C81" w:rsidRPr="002D6F59">
        <w:rPr>
          <w:rFonts w:ascii="Century Gothic" w:hAnsi="Century Gothic" w:cs="Arial"/>
          <w:color w:val="000000"/>
        </w:rPr>
        <w:t xml:space="preserve"> de</w:t>
      </w:r>
      <w:r w:rsidRPr="002D6F59">
        <w:rPr>
          <w:rFonts w:ascii="Century Gothic" w:hAnsi="Century Gothic" w:cs="Arial"/>
          <w:color w:val="000000"/>
        </w:rPr>
        <w:t xml:space="preserve"> los derechos fundamentales que radican en cabeza de los niños, niñas y adolescentes, y, consagra los siguientes principios: </w:t>
      </w:r>
      <w:r w:rsidRPr="002D6F59">
        <w:rPr>
          <w:rFonts w:ascii="Century Gothic" w:hAnsi="Century Gothic" w:cs="Arial"/>
          <w:b/>
          <w:color w:val="000000"/>
        </w:rPr>
        <w:t>i)</w:t>
      </w:r>
      <w:r w:rsidRPr="002D6F59">
        <w:rPr>
          <w:rFonts w:ascii="Century Gothic" w:hAnsi="Century Gothic" w:cs="Arial"/>
          <w:color w:val="000000"/>
        </w:rPr>
        <w:t xml:space="preserve"> el principio de la protección integral, enunciado como el deber de proteger a los niños contra todo tipo de violencia física o moral, o abandono, entre otros situaciones que vulneren sus derechos, </w:t>
      </w:r>
      <w:r w:rsidRPr="002D6F59">
        <w:rPr>
          <w:rFonts w:ascii="Century Gothic" w:hAnsi="Century Gothic" w:cs="Arial"/>
          <w:b/>
          <w:color w:val="000000"/>
        </w:rPr>
        <w:lastRenderedPageBreak/>
        <w:t>ii)</w:t>
      </w:r>
      <w:r w:rsidRPr="002D6F59">
        <w:rPr>
          <w:rFonts w:ascii="Century Gothic" w:hAnsi="Century Gothic" w:cs="Arial"/>
          <w:color w:val="000000"/>
        </w:rPr>
        <w:t xml:space="preserve"> el principio de corresponsabilidad, que consiste primordialmente en el deber de la familia, la sociedad y el Estado de asistir y proteger al niño para garantizar su desarrollo y el ejercicio pleno de sus derechos, y </w:t>
      </w:r>
      <w:r w:rsidRPr="002D6F59">
        <w:rPr>
          <w:rFonts w:ascii="Century Gothic" w:hAnsi="Century Gothic" w:cs="Arial"/>
          <w:b/>
          <w:color w:val="000000"/>
        </w:rPr>
        <w:t>iii)</w:t>
      </w:r>
      <w:r w:rsidRPr="002D6F59">
        <w:rPr>
          <w:rFonts w:ascii="Century Gothic" w:hAnsi="Century Gothic" w:cs="Arial"/>
          <w:color w:val="000000"/>
        </w:rPr>
        <w:t xml:space="preserve"> el principio de la prevalencia de los derechos de los niños sobre los derechos de los demás.</w:t>
      </w:r>
    </w:p>
    <w:p w14:paraId="29C0F5A8" w14:textId="794F16B4"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Como se puede ver, el marco normativo impone dos obligaciones al Estado colombiano q</w:t>
      </w:r>
      <w:r w:rsidR="002E4C81" w:rsidRPr="002D6F59">
        <w:rPr>
          <w:rFonts w:ascii="Century Gothic" w:hAnsi="Century Gothic" w:cs="Arial"/>
          <w:color w:val="000000"/>
        </w:rPr>
        <w:t>ue resulta pertinente mencionar y</w:t>
      </w:r>
      <w:r w:rsidRPr="002D6F59">
        <w:rPr>
          <w:rFonts w:ascii="Century Gothic" w:hAnsi="Century Gothic" w:cs="Arial"/>
          <w:color w:val="000000"/>
        </w:rPr>
        <w:t xml:space="preserve"> son los siguientes: </w:t>
      </w:r>
    </w:p>
    <w:p w14:paraId="6A9CE4A7" w14:textId="77777777" w:rsidR="00BC121A" w:rsidRPr="002D6F59" w:rsidRDefault="00BC121A" w:rsidP="00B17AB2">
      <w:pPr>
        <w:pStyle w:val="s10"/>
        <w:numPr>
          <w:ilvl w:val="0"/>
          <w:numId w:val="43"/>
        </w:numPr>
        <w:spacing w:after="0" w:line="276" w:lineRule="auto"/>
        <w:jc w:val="both"/>
        <w:rPr>
          <w:rFonts w:ascii="Century Gothic" w:hAnsi="Century Gothic" w:cs="Arial"/>
          <w:color w:val="000000"/>
        </w:rPr>
      </w:pPr>
      <w:r w:rsidRPr="002D6F59">
        <w:rPr>
          <w:rFonts w:ascii="Century Gothic" w:hAnsi="Century Gothic" w:cs="Arial"/>
          <w:color w:val="000000"/>
        </w:rPr>
        <w:t>La obligación de propender por la protección integral de los niños, niñas y adolescentes por medio de las medidas de orden legislativo, administrativo o jurisdiccional, que sean necesarias, y</w:t>
      </w:r>
    </w:p>
    <w:p w14:paraId="1FFCC478" w14:textId="77777777" w:rsidR="00BC121A" w:rsidRPr="002D6F59" w:rsidRDefault="00BC121A" w:rsidP="00B17AB2">
      <w:pPr>
        <w:pStyle w:val="s10"/>
        <w:numPr>
          <w:ilvl w:val="0"/>
          <w:numId w:val="43"/>
        </w:numPr>
        <w:spacing w:after="0" w:line="276" w:lineRule="auto"/>
        <w:jc w:val="both"/>
        <w:rPr>
          <w:rFonts w:ascii="Century Gothic" w:hAnsi="Century Gothic" w:cs="Arial"/>
          <w:color w:val="000000"/>
        </w:rPr>
      </w:pPr>
      <w:r w:rsidRPr="002D6F59">
        <w:rPr>
          <w:rFonts w:ascii="Century Gothic" w:hAnsi="Century Gothic" w:cs="Arial"/>
          <w:color w:val="000000"/>
        </w:rPr>
        <w:t>La obligación a cargo del órgano legislativo, de las autoridades administrativas y judiciales de atender el interés superior del niño en todas aquellas decisiones afecten o puedan afectar sus derechos, lo cual se traduce, a su vez, en la prevalencia de sus derechos, en caso de conflicto con los derechos de otras personas.</w:t>
      </w:r>
    </w:p>
    <w:p w14:paraId="0E5CC909" w14:textId="77777777" w:rsidR="00900DCE" w:rsidRDefault="00BC121A" w:rsidP="00900DCE">
      <w:pPr>
        <w:pStyle w:val="s10"/>
        <w:spacing w:line="276" w:lineRule="auto"/>
        <w:jc w:val="both"/>
        <w:rPr>
          <w:rFonts w:ascii="Century Gothic" w:hAnsi="Century Gothic" w:cs="Arial"/>
          <w:color w:val="000000"/>
        </w:rPr>
      </w:pPr>
      <w:r w:rsidRPr="002D6F59">
        <w:rPr>
          <w:rFonts w:ascii="Century Gothic" w:hAnsi="Century Gothic" w:cs="Arial"/>
          <w:color w:val="000000"/>
        </w:rPr>
        <w:t>El principio de la prevalencia del interés superior del niño, por su propia naturaleza, es relevante cuando dicho interés entra en conflicto con otras expectativas o derechos, que a pesar de gozar de reconocimiento y protección constitucional o legal deben ceder frente a los derechos de los niños, niñas y adolescentes. Tal circunstancia ha llevado a la Corte Constitucional a destacar el carácter relacional del principio de la prevalencia del interés superior del niño, en los siguientes términos:</w:t>
      </w:r>
    </w:p>
    <w:p w14:paraId="7C165BA7" w14:textId="1728AC0A" w:rsidR="00BC121A" w:rsidRPr="00900DCE" w:rsidRDefault="00BC121A" w:rsidP="00627F4B">
      <w:pPr>
        <w:pStyle w:val="s10"/>
        <w:spacing w:line="276" w:lineRule="auto"/>
        <w:ind w:left="426" w:right="332"/>
        <w:jc w:val="both"/>
        <w:rPr>
          <w:rFonts w:ascii="Century Gothic" w:hAnsi="Century Gothic" w:cs="Arial"/>
          <w:color w:val="000000"/>
        </w:rPr>
      </w:pPr>
      <w:r w:rsidRPr="002D6F59">
        <w:rPr>
          <w:rFonts w:ascii="Century Gothic" w:hAnsi="Century Gothic" w:cs="Arial"/>
          <w:i/>
          <w:iCs/>
          <w:color w:val="000000"/>
          <w:sz w:val="20"/>
          <w:szCs w:val="20"/>
        </w:rPr>
        <w:t>El denominado "interés superior" es un concepto de suma importancia que transformó sustancialmente el enfoque tradicional que informaba el tratamiento de los menores de edad. En el pasado, el menor era considerado "menos que los demás" y, por consiguiente, su intervención y participación, en la vida jurídica (salvo algunos actos en que podía intervenir mediante representante) y, en la gran mayoría de situaciones que lo afectaban, prácticamente era inexistente o muy reducida.</w:t>
      </w:r>
    </w:p>
    <w:p w14:paraId="00C70D55" w14:textId="77777777" w:rsidR="00BC121A" w:rsidRPr="002D6F59" w:rsidRDefault="00BC121A" w:rsidP="00B17AB2">
      <w:pPr>
        <w:pStyle w:val="s10"/>
        <w:spacing w:line="276" w:lineRule="auto"/>
        <w:ind w:left="360" w:right="332"/>
        <w:jc w:val="both"/>
        <w:rPr>
          <w:rFonts w:ascii="Century Gothic" w:hAnsi="Century Gothic" w:cs="Arial"/>
          <w:i/>
          <w:iCs/>
          <w:color w:val="000000"/>
          <w:sz w:val="20"/>
          <w:szCs w:val="20"/>
        </w:rPr>
      </w:pPr>
      <w:r w:rsidRPr="002D6F59">
        <w:rPr>
          <w:rFonts w:ascii="Century Gothic" w:hAnsi="Century Gothic" w:cs="Arial"/>
          <w:i/>
          <w:iCs/>
          <w:color w:val="000000"/>
          <w:sz w:val="20"/>
          <w:szCs w:val="20"/>
        </w:rPr>
        <w:t>(…)</w:t>
      </w:r>
    </w:p>
    <w:p w14:paraId="6F572C80" w14:textId="77777777" w:rsidR="00BC121A" w:rsidRPr="002D6F59" w:rsidRDefault="00BC121A" w:rsidP="00B17AB2">
      <w:pPr>
        <w:pStyle w:val="s10"/>
        <w:spacing w:line="276" w:lineRule="auto"/>
        <w:ind w:left="360" w:right="332"/>
        <w:jc w:val="both"/>
        <w:rPr>
          <w:rFonts w:ascii="Century Gothic" w:hAnsi="Century Gothic" w:cs="Arial"/>
          <w:color w:val="000000"/>
          <w:sz w:val="20"/>
          <w:szCs w:val="20"/>
        </w:rPr>
      </w:pPr>
      <w:r w:rsidRPr="002D6F59">
        <w:rPr>
          <w:rFonts w:ascii="Century Gothic" w:hAnsi="Century Gothic" w:cs="Arial"/>
          <w:i/>
          <w:iCs/>
          <w:color w:val="000000"/>
          <w:sz w:val="20"/>
          <w:szCs w:val="20"/>
        </w:rPr>
        <w:t xml:space="preserve">La más especializada doctrina coincide en señalar que el interés superior del menor, se caracteriza por ser: (1) real, en cuanto se relaciona con las particulares necesidades del menor y con sus especiales aptitudes físicas y sicológicas; (2) independiente del criterio arbitrario de los demás y, por tanto, su existencia y protección no dependen de la voluntad o capricho de los padres, en tanto se trata de intereses jurídicamente autónomos; (3) </w:t>
      </w:r>
      <w:r w:rsidRPr="002D6F59">
        <w:rPr>
          <w:rFonts w:ascii="Century Gothic" w:hAnsi="Century Gothic" w:cs="Arial"/>
          <w:i/>
          <w:iCs/>
          <w:color w:val="000000"/>
          <w:sz w:val="20"/>
          <w:szCs w:val="20"/>
          <w:u w:val="single"/>
        </w:rPr>
        <w:t xml:space="preserve">un concepto relacional, pues la garantía de su protección se predica frente a la existencia de intereses en conflicto cuyo ejercicio de ponderación debe ser </w:t>
      </w:r>
      <w:r w:rsidRPr="002D6F59">
        <w:rPr>
          <w:rFonts w:ascii="Century Gothic" w:hAnsi="Century Gothic" w:cs="Arial"/>
          <w:i/>
          <w:iCs/>
          <w:color w:val="000000"/>
          <w:sz w:val="20"/>
          <w:szCs w:val="20"/>
          <w:u w:val="single"/>
        </w:rPr>
        <w:lastRenderedPageBreak/>
        <w:t xml:space="preserve">guiado por la protección de los derechos del menor; </w:t>
      </w:r>
      <w:r w:rsidRPr="002D6F59">
        <w:rPr>
          <w:rFonts w:ascii="Century Gothic" w:hAnsi="Century Gothic" w:cs="Arial"/>
          <w:i/>
          <w:iCs/>
          <w:color w:val="000000"/>
          <w:sz w:val="20"/>
          <w:szCs w:val="20"/>
        </w:rPr>
        <w:t>(4) la garantía de un interés jurídico supremo consistente en el desarrollo integral y sano de la personalidad del menor. (Sentencia T – 408 de 1995. M.P. Eduardo Cifuentes Muñoz) Subrayado fuera de texto.</w:t>
      </w:r>
      <w:r w:rsidRPr="002D6F59">
        <w:rPr>
          <w:rFonts w:ascii="Century Gothic" w:hAnsi="Century Gothic" w:cs="Arial"/>
          <w:color w:val="000000"/>
          <w:sz w:val="20"/>
          <w:szCs w:val="20"/>
        </w:rPr>
        <w:t xml:space="preserve"> </w:t>
      </w:r>
    </w:p>
    <w:p w14:paraId="708B49EB" w14:textId="77777777" w:rsidR="00902E91"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Por lo tanto, en el caso de las reformas legislativas encaminadas a modificar el régimen penal aplicable a las personas que cometen delitos contra niños, niñas y adolescentes puede presentarse una contradicción entre el interés de las personas investigadas y juzgadas, y el interés de los niños que han sido víctimas de los delitos respectivos.</w:t>
      </w:r>
    </w:p>
    <w:p w14:paraId="543E9F45" w14:textId="289829E0"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Esta contradicción puede ser resuelta por el legislador, en ejercicio de su potestad de configuración normativa y en el ámbito de la política criminal del Estado, a favor del interés superior del niño, materializando su carácter prevalente. </w:t>
      </w:r>
    </w:p>
    <w:p w14:paraId="0170F70E"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La Corte Constitucional ha destacado que lo anterior no corresponde a una decisión caprichosa del legislador, sino que, por el contrario, responde a un ejercicio de ponderación en donde el órgano legislativo puede definir un tratamiento legal diferenciado para las personas procesadas y condenadas por delitos contra la infancia y la adolescencia, con el fin de materializar la prevalencia del interés superior del niño. A propósito de la prohibición de aplicar el principio de oportunidad, ha manifestado lo siguiente:</w:t>
      </w:r>
    </w:p>
    <w:p w14:paraId="65C29785"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No debe perderse de vista que los artículos iniciales del Código de la Infancia resaltan tal prevalencia al advertir que </w:t>
      </w:r>
      <w:r w:rsidRPr="002D6F59">
        <w:rPr>
          <w:rFonts w:ascii="Century Gothic" w:hAnsi="Century Gothic" w:cs="Arial"/>
          <w:i/>
          <w:color w:val="000000"/>
          <w:sz w:val="20"/>
          <w:szCs w:val="20"/>
          <w:u w:val="single"/>
        </w:rPr>
        <w:t>en todo</w:t>
      </w:r>
      <w:r w:rsidRPr="002D6F59">
        <w:rPr>
          <w:rFonts w:ascii="Century Gothic" w:hAnsi="Century Gothic" w:cs="Arial"/>
          <w:i/>
          <w:color w:val="000000"/>
          <w:sz w:val="20"/>
          <w:szCs w:val="20"/>
        </w:rPr>
        <w:t xml:space="preserve"> </w:t>
      </w:r>
      <w:r w:rsidRPr="002D6F59">
        <w:rPr>
          <w:rFonts w:ascii="Century Gothic" w:hAnsi="Century Gothic" w:cs="Arial"/>
          <w:i/>
          <w:color w:val="000000"/>
          <w:sz w:val="20"/>
          <w:szCs w:val="20"/>
          <w:u w:val="single"/>
        </w:rPr>
        <w:t>"acto,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 Y que "En caso de conflicto entre dos o más disposiciones legales, administrativas o disciplinarias, se aplicará la norma más favorable al interés superior del niño, niña o adolescente</w:t>
      </w:r>
      <w:r w:rsidRPr="002D6F59">
        <w:rPr>
          <w:rFonts w:ascii="Century Gothic" w:hAnsi="Century Gothic" w:cs="Arial"/>
          <w:i/>
          <w:color w:val="000000"/>
          <w:sz w:val="20"/>
          <w:szCs w:val="20"/>
        </w:rPr>
        <w:t>" (art. 9º Ley 1098 de 2006).</w:t>
      </w:r>
    </w:p>
    <w:p w14:paraId="753BB570"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u w:val="single"/>
        </w:rPr>
      </w:pPr>
      <w:r w:rsidRPr="002D6F59">
        <w:rPr>
          <w:rFonts w:ascii="Century Gothic" w:hAnsi="Century Gothic" w:cs="Arial"/>
          <w:i/>
          <w:color w:val="000000"/>
          <w:sz w:val="20"/>
          <w:szCs w:val="20"/>
        </w:rPr>
        <w:t xml:space="preserve">De conformidad con las conclusiones del primer capítulo de esta providencia, los derechos de los niños tienen prelación sobre los derechos de los demás y que tanto el texto constitucional como los tratados internacionales suscritos por Colombia se encaminan a garantizar el mayor grado de protección posible. Este énfasis especial del sistema jurídico permite entender como razonable que el legislador no autorice que la acción penal se suspenda, se renuncie o se termine cuando el delito de que se trata afecta gravemente la integridad, la libertad y la formación sexual del menor. </w:t>
      </w:r>
      <w:r w:rsidRPr="002D6F59">
        <w:rPr>
          <w:rFonts w:ascii="Century Gothic" w:hAnsi="Century Gothic" w:cs="Arial"/>
          <w:i/>
          <w:color w:val="000000"/>
          <w:sz w:val="20"/>
          <w:szCs w:val="20"/>
          <w:u w:val="single"/>
        </w:rPr>
        <w:t xml:space="preserve">En otras palabras, el interés superior del menor, es decir, "el imperativo que obliga a todas las personas a garantizar la satisfacción integral y simultánea de todos sus </w:t>
      </w:r>
      <w:r w:rsidRPr="002D6F59">
        <w:rPr>
          <w:rFonts w:ascii="Century Gothic" w:hAnsi="Century Gothic" w:cs="Arial"/>
          <w:i/>
          <w:color w:val="000000"/>
          <w:sz w:val="20"/>
          <w:szCs w:val="20"/>
          <w:u w:val="single"/>
        </w:rPr>
        <w:lastRenderedPageBreak/>
        <w:t>Derechos Humanos, que son universales, prevalentes e interdependientes" (art. 8º Ley 1098 de 2006), y que es criterio de interpretación de las normas demandadas, impone que, frente a la opción de renunciar a la acción penal o suspenderla, el Estado deba escoger por investigarla y sancionarla.</w:t>
      </w:r>
    </w:p>
    <w:p w14:paraId="0EAC731D"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u w:val="single"/>
        </w:rPr>
        <w:t>En primer lugar, la Corte evidencia que la protección de los derechos de los menores no sería efectiva si el Estado renunciara a sancionar las conductas que afectan de manera grave derechos de categoría prevalente. La</w:t>
      </w:r>
      <w:r w:rsidRPr="002D6F59">
        <w:rPr>
          <w:rFonts w:ascii="Century Gothic" w:hAnsi="Century Gothic" w:cs="Arial"/>
          <w:i/>
          <w:color w:val="000000"/>
          <w:sz w:val="20"/>
          <w:szCs w:val="20"/>
        </w:rPr>
        <w:t xml:space="preserve"> función disuasiva de la pena se encamina a que los abusos cometidos contra los niños y adolescentes dejen de cometerse, por lo que renunciar a ella despojaría al Estado de una herramienta crucial en la lucha contra el abuso infantil. </w:t>
      </w:r>
      <w:r w:rsidRPr="002D6F59">
        <w:rPr>
          <w:rFonts w:ascii="Century Gothic" w:hAnsi="Century Gothic" w:cs="Arial"/>
          <w:i/>
          <w:color w:val="000000"/>
          <w:sz w:val="20"/>
          <w:szCs w:val="20"/>
          <w:u w:val="single"/>
        </w:rPr>
        <w:t>Se inaplicaría, por esta vía, la imposición de protección integral que la propia Ley 1098 ha previsto para los menores, cuando dispuso "Se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r w:rsidRPr="002D6F59">
        <w:rPr>
          <w:rFonts w:ascii="Century Gothic" w:hAnsi="Century Gothic" w:cs="Arial"/>
          <w:i/>
          <w:color w:val="000000"/>
          <w:sz w:val="20"/>
          <w:szCs w:val="20"/>
        </w:rPr>
        <w:t>"</w:t>
      </w:r>
    </w:p>
    <w:p w14:paraId="08C8E8E5"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w:t>
      </w:r>
    </w:p>
    <w:p w14:paraId="1E9B4600" w14:textId="77777777" w:rsidR="00BC121A" w:rsidRPr="002D6F59" w:rsidRDefault="00BC121A" w:rsidP="00B17AB2">
      <w:pPr>
        <w:pStyle w:val="s10"/>
        <w:spacing w:line="276" w:lineRule="auto"/>
        <w:ind w:left="450" w:right="46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A los delitos contra el derecho internacional humanitario, a los delitos de lesa humanidad, se suman entonces, por virtud de los tratados internacionales de protección a la niñez, los delitos que menoscaban derechos íntimamente ligados con la esencia y dignidad del ser humano, como su integridad sexual, personal y su libertad. </w:t>
      </w:r>
      <w:r w:rsidRPr="002D6F59">
        <w:rPr>
          <w:rFonts w:ascii="Century Gothic" w:hAnsi="Century Gothic" w:cs="Arial"/>
          <w:i/>
          <w:color w:val="000000"/>
          <w:sz w:val="20"/>
          <w:szCs w:val="20"/>
          <w:u w:val="single"/>
        </w:rPr>
        <w:t xml:space="preserve">Por ello, atendiendo a los limites mismos del principio de oportunidad, el Estado no está autorizado para omitir, suspender o renunciar a la acción penal cuando el afectado en estos casos es un menor de edad. </w:t>
      </w:r>
      <w:r w:rsidRPr="002D6F59">
        <w:rPr>
          <w:rFonts w:ascii="Century Gothic" w:hAnsi="Century Gothic" w:cs="Arial"/>
          <w:i/>
          <w:color w:val="000000"/>
          <w:sz w:val="20"/>
          <w:szCs w:val="20"/>
        </w:rPr>
        <w:t>(Sentencia C-738/2008) Subrayado fuera de texto</w:t>
      </w:r>
    </w:p>
    <w:p w14:paraId="45D9394E" w14:textId="5F4AACDB"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Finalmente, para concluir este punto, en primer lugar, se reitera que estas reglas han sido definidas por el Congreso de la República en ejercicio de su libertad de configuración normativa, que a su vez hace parte de la política criminal del Estado. La Corte Constitucional ha abordado esta facultad del legislador, en lo que atañe al otorgamiento de beneficios </w:t>
      </w:r>
      <w:r w:rsidR="00E92087" w:rsidRPr="002D6F59">
        <w:rPr>
          <w:rFonts w:ascii="Century Gothic" w:hAnsi="Century Gothic" w:cs="Arial"/>
          <w:color w:val="000000"/>
        </w:rPr>
        <w:t>penales, y explica lo siguiente</w:t>
      </w:r>
      <w:r w:rsidRPr="002D6F59">
        <w:rPr>
          <w:rFonts w:ascii="Century Gothic" w:hAnsi="Century Gothic" w:cs="Arial"/>
          <w:color w:val="000000"/>
        </w:rPr>
        <w:t xml:space="preserve">: </w:t>
      </w:r>
    </w:p>
    <w:p w14:paraId="39782DDE" w14:textId="77777777" w:rsidR="00BC121A" w:rsidRPr="002D6F59" w:rsidRDefault="00BC121A" w:rsidP="00B17AB2">
      <w:pPr>
        <w:pStyle w:val="s10"/>
        <w:tabs>
          <w:tab w:val="left" w:pos="8647"/>
        </w:tabs>
        <w:spacing w:line="276" w:lineRule="auto"/>
        <w:ind w:left="360" w:right="378"/>
        <w:jc w:val="both"/>
        <w:rPr>
          <w:rFonts w:ascii="Century Gothic" w:hAnsi="Century Gothic" w:cs="Arial"/>
          <w:i/>
          <w:color w:val="000000"/>
          <w:sz w:val="20"/>
          <w:szCs w:val="20"/>
        </w:rPr>
      </w:pPr>
      <w:r w:rsidRPr="002D6F59">
        <w:rPr>
          <w:rFonts w:ascii="Century Gothic" w:hAnsi="Century Gothic" w:cs="Arial"/>
          <w:i/>
          <w:color w:val="000000"/>
          <w:sz w:val="20"/>
          <w:szCs w:val="20"/>
        </w:rPr>
        <w:t xml:space="preserve">Con base en los precedentes jurisprudenciales se tiene que </w:t>
      </w:r>
      <w:r w:rsidRPr="002D6F59">
        <w:rPr>
          <w:rFonts w:ascii="Century Gothic" w:hAnsi="Century Gothic" w:cs="Arial"/>
          <w:i/>
          <w:color w:val="000000"/>
          <w:sz w:val="20"/>
          <w:szCs w:val="20"/>
          <w:u w:val="single"/>
        </w:rPr>
        <w:t>en materia de concesión de beneficios penales</w:t>
      </w:r>
      <w:r w:rsidRPr="002D6F59">
        <w:rPr>
          <w:rFonts w:ascii="Century Gothic" w:hAnsi="Century Gothic" w:cs="Arial"/>
          <w:i/>
          <w:color w:val="000000"/>
          <w:sz w:val="20"/>
          <w:szCs w:val="20"/>
        </w:rPr>
        <w:t xml:space="preserve">, (i) </w:t>
      </w:r>
      <w:r w:rsidRPr="002D6F59">
        <w:rPr>
          <w:rFonts w:ascii="Century Gothic" w:hAnsi="Century Gothic" w:cs="Arial"/>
          <w:i/>
          <w:color w:val="000000"/>
          <w:sz w:val="20"/>
          <w:szCs w:val="20"/>
          <w:u w:val="single"/>
        </w:rPr>
        <w:t>el legislador cuenta con amplio margen de configuración normativa, en tanto que es una manifestación de su competencia para fijar la política criminal del Estado</w:t>
      </w:r>
      <w:r w:rsidRPr="002D6F59">
        <w:rPr>
          <w:rFonts w:ascii="Century Gothic" w:hAnsi="Century Gothic" w:cs="Arial"/>
          <w:i/>
          <w:color w:val="000000"/>
          <w:sz w:val="20"/>
          <w:szCs w:val="20"/>
        </w:rPr>
        <w:t xml:space="preserve">; (ii) con todo, la concesión o negación de beneficios penales no puede desconocer el derecho a la igualdad; (iii) se ajustan, prima facie, a la Constitución medidas legislativas mediante las cuales se restringe la concesión de beneficios penales en casos de delitos considerados particularmente graves para la sociedad; (iv) el Estado colombiano ha asumido compromisos internacionales en materia de combate contra el terrorismo, razón de más para que el legislador limite la </w:t>
      </w:r>
      <w:r w:rsidRPr="002D6F59">
        <w:rPr>
          <w:rFonts w:ascii="Century Gothic" w:hAnsi="Century Gothic" w:cs="Arial"/>
          <w:i/>
          <w:color w:val="000000"/>
          <w:sz w:val="20"/>
          <w:szCs w:val="20"/>
        </w:rPr>
        <w:lastRenderedPageBreak/>
        <w:t>concesión de beneficios penales en la materia. (Sentencia C-073 de 2010. M.P. Humberto Sierra Porto) Subrayado fuera de texto.</w:t>
      </w:r>
    </w:p>
    <w:p w14:paraId="528470E5"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En el mismo sentido, como se puede ver en la exposición de motivos de la Ley 1098 de 2006 y de la Ley 1236 de 2008, por medio de la cual se modificaron algunos delitos referidos al abuso sexual, en opinión del legislador el aumento de las penas y la prohibición de otorgar beneficios penales, constituye un mecanismo idóneo para materializar el principio de la protección integral de los niños, niñas y adolescentes, que deberían inducir cambios culturales favorables a la garantía de sus derechos. La exposición de motivos de la Ley 1098 de 2006, incluye el siguiente apartado:</w:t>
      </w:r>
    </w:p>
    <w:p w14:paraId="3DEBD377" w14:textId="77777777" w:rsidR="00BC121A" w:rsidRPr="002D6F59" w:rsidRDefault="00BC121A" w:rsidP="00B17AB2">
      <w:pPr>
        <w:pStyle w:val="s10"/>
        <w:spacing w:line="276" w:lineRule="auto"/>
        <w:jc w:val="both"/>
        <w:rPr>
          <w:rFonts w:ascii="Century Gothic" w:hAnsi="Century Gothic" w:cs="Arial"/>
          <w:color w:val="000000"/>
        </w:rPr>
      </w:pPr>
      <w:r w:rsidRPr="002D6F59">
        <w:rPr>
          <w:rFonts w:ascii="Century Gothic" w:hAnsi="Century Gothic" w:cs="Arial"/>
          <w:color w:val="000000"/>
        </w:rPr>
        <w:t xml:space="preserve">Por ello el país tiene una deuda con los niños y las niñas que son víctimas de los vejámenes más atroces, lo que hace necesario promover normas persuasivas que impongan sanciones severas contra los adultos que los maltraten y que cometan delitos contra ellos y ellas. En aras de la prevalencia de los derechos de los niños se hace imperativo aumentar las penas de los delitos en los que haya una víctima menor de edad, así como negar los beneficios jurídicos establecidos en la ley penal, salvo los de orden constitucional, para quienes cometan delitos contra los niños y las niñas. </w:t>
      </w:r>
    </w:p>
    <w:p w14:paraId="25E8A733" w14:textId="429E7E17" w:rsidR="00BC121A" w:rsidRPr="002D6F59" w:rsidRDefault="00BC121A" w:rsidP="00B17AB2">
      <w:pPr>
        <w:pStyle w:val="s10"/>
        <w:spacing w:line="276" w:lineRule="auto"/>
        <w:jc w:val="both"/>
        <w:rPr>
          <w:rStyle w:val="s11"/>
          <w:rFonts w:ascii="Century Gothic" w:hAnsi="Century Gothic" w:cs="Arial"/>
          <w:color w:val="000000"/>
        </w:rPr>
      </w:pPr>
      <w:r w:rsidRPr="002D6F59">
        <w:rPr>
          <w:rFonts w:ascii="Century Gothic" w:hAnsi="Century Gothic" w:cs="Arial"/>
          <w:color w:val="000000"/>
        </w:rPr>
        <w:t>Sin lugar a dudas, el hecho de contar con una legislación que contemple sanciones para quienes ejerzan castigos corporales o maltrato infantil por sí misma no soluciona el problema. Sin embargo, conseguir su aplicación es en sí misma es una manera de educar a la sociedad y de caminar hacia los cambios culturales que tanto requiere esta sociedad deprimida</w:t>
      </w:r>
      <w:r w:rsidR="00D66184" w:rsidRPr="002D6F59">
        <w:rPr>
          <w:rFonts w:ascii="Century Gothic" w:hAnsi="Century Gothic" w:cs="Arial"/>
          <w:color w:val="000000"/>
        </w:rPr>
        <w:t>.</w:t>
      </w:r>
    </w:p>
    <w:p w14:paraId="69631E46" w14:textId="0A2E8CC9" w:rsidR="00BC121A" w:rsidRPr="002D6F59" w:rsidRDefault="00BC121A" w:rsidP="00B17AB2">
      <w:pPr>
        <w:pStyle w:val="s10"/>
        <w:spacing w:before="0" w:beforeAutospacing="0" w:after="0" w:afterAutospacing="0" w:line="276" w:lineRule="auto"/>
        <w:jc w:val="both"/>
        <w:rPr>
          <w:rStyle w:val="s11"/>
          <w:rFonts w:ascii="Century Gothic" w:hAnsi="Century Gothic" w:cs="Arial"/>
          <w:color w:val="000000"/>
        </w:rPr>
      </w:pPr>
      <w:r w:rsidRPr="002D6F59">
        <w:rPr>
          <w:rStyle w:val="s11"/>
          <w:rFonts w:ascii="Century Gothic" w:hAnsi="Century Gothic" w:cs="Arial"/>
          <w:color w:val="000000"/>
        </w:rPr>
        <w:t xml:space="preserve">De lo </w:t>
      </w:r>
      <w:r w:rsidR="00D66184" w:rsidRPr="002D6F59">
        <w:rPr>
          <w:rStyle w:val="s11"/>
          <w:rFonts w:ascii="Century Gothic" w:hAnsi="Century Gothic" w:cs="Arial"/>
          <w:color w:val="000000"/>
        </w:rPr>
        <w:t>anterior puede concluirse que, d</w:t>
      </w:r>
      <w:r w:rsidRPr="002D6F59">
        <w:rPr>
          <w:rStyle w:val="s11"/>
          <w:rFonts w:ascii="Century Gothic" w:hAnsi="Century Gothic" w:cs="Arial"/>
          <w:color w:val="000000"/>
        </w:rPr>
        <w:t>esde el punto de vista constitucional, la salvaguarda del interés superior del menor, es un elemento fundamental dentro de la Concepción del Estado so</w:t>
      </w:r>
      <w:r w:rsidR="00D66184" w:rsidRPr="002D6F59">
        <w:rPr>
          <w:rStyle w:val="s11"/>
          <w:rFonts w:ascii="Century Gothic" w:hAnsi="Century Gothic" w:cs="Arial"/>
          <w:color w:val="000000"/>
        </w:rPr>
        <w:t>cial de derecho previsto en la C</w:t>
      </w:r>
      <w:r w:rsidRPr="002D6F59">
        <w:rPr>
          <w:rStyle w:val="s11"/>
          <w:rFonts w:ascii="Century Gothic" w:hAnsi="Century Gothic" w:cs="Arial"/>
          <w:color w:val="000000"/>
        </w:rPr>
        <w:t xml:space="preserve">onstitución </w:t>
      </w:r>
      <w:r w:rsidR="00D66184" w:rsidRPr="002D6F59">
        <w:rPr>
          <w:rStyle w:val="s11"/>
          <w:rFonts w:ascii="Century Gothic" w:hAnsi="Century Gothic" w:cs="Arial"/>
          <w:color w:val="000000"/>
        </w:rPr>
        <w:t>P</w:t>
      </w:r>
      <w:r w:rsidRPr="002D6F59">
        <w:rPr>
          <w:rStyle w:val="s11"/>
          <w:rFonts w:ascii="Century Gothic" w:hAnsi="Century Gothic" w:cs="Arial"/>
          <w:color w:val="000000"/>
        </w:rPr>
        <w:t xml:space="preserve">olítica colombiana. Por ello implementar acciones y mecanismos que protejan los derechos de los </w:t>
      </w:r>
      <w:r w:rsidR="002442EA" w:rsidRPr="002D6F59">
        <w:rPr>
          <w:rStyle w:val="s11"/>
          <w:rFonts w:ascii="Century Gothic" w:hAnsi="Century Gothic" w:cs="Arial"/>
          <w:color w:val="000000"/>
        </w:rPr>
        <w:t>menores es</w:t>
      </w:r>
      <w:r w:rsidRPr="002D6F59">
        <w:rPr>
          <w:rStyle w:val="s11"/>
          <w:rFonts w:ascii="Century Gothic" w:hAnsi="Century Gothic" w:cs="Arial"/>
          <w:color w:val="000000"/>
        </w:rPr>
        <w:t xml:space="preserve"> un desarrollo del modelo de Estado colombiano </w:t>
      </w:r>
      <w:r w:rsidR="00D66184" w:rsidRPr="002D6F59">
        <w:rPr>
          <w:rStyle w:val="s11"/>
          <w:rFonts w:ascii="Century Gothic" w:hAnsi="Century Gothic" w:cs="Arial"/>
          <w:color w:val="000000"/>
        </w:rPr>
        <w:t xml:space="preserve">e </w:t>
      </w:r>
      <w:r w:rsidRPr="002D6F59">
        <w:rPr>
          <w:rStyle w:val="s11"/>
          <w:rFonts w:ascii="Century Gothic" w:hAnsi="Century Gothic" w:cs="Arial"/>
          <w:color w:val="000000"/>
        </w:rPr>
        <w:t>implica el cumplimiento de las obligaciones de todas las autoridades frente a la protección eficaz de los derechos de los menores y a la sanción efectiva cuando estos son vulnerados.</w:t>
      </w:r>
    </w:p>
    <w:p w14:paraId="1A8D5FF7" w14:textId="77777777" w:rsidR="00BC121A" w:rsidRPr="002D6F59" w:rsidRDefault="00BC121A" w:rsidP="005627A0">
      <w:pPr>
        <w:pStyle w:val="s22"/>
        <w:spacing w:before="0" w:beforeAutospacing="0" w:after="0" w:afterAutospacing="0"/>
        <w:ind w:right="30"/>
        <w:jc w:val="both"/>
        <w:rPr>
          <w:rStyle w:val="s11"/>
          <w:rFonts w:ascii="Century Gothic" w:hAnsi="Century Gothic" w:cs="Arial"/>
          <w:i/>
          <w:color w:val="000000"/>
        </w:rPr>
      </w:pPr>
    </w:p>
    <w:p w14:paraId="75CA1C6C" w14:textId="1BB05BC1" w:rsidR="00BC121A"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LAS ACTUALES PENAS PARA LOS DELITOS QUE ATENTAN CONTRA LA LIBERTAD INTEGRIDAD INFORMACIÓN SEXUAL DE LOS NIÑOS, NIÑOS Y ADOLESCENTES NO SON PROPORCIONALES RESPECTO DE LA GRAVEDAD DE ESTAS CONDUCTAS</w:t>
      </w:r>
    </w:p>
    <w:p w14:paraId="65B163D4" w14:textId="6348DE9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lastRenderedPageBreak/>
        <w:t>Si se examinan los tipos penales relacionados con delitos violentos de orden sexual en contra de los niños</w:t>
      </w:r>
      <w:r w:rsidR="00D66184" w:rsidRPr="002D6F59">
        <w:rPr>
          <w:rFonts w:ascii="Century Gothic" w:hAnsi="Century Gothic" w:cs="Arial"/>
        </w:rPr>
        <w:t>,</w:t>
      </w:r>
      <w:r w:rsidRPr="002D6F59">
        <w:rPr>
          <w:rFonts w:ascii="Century Gothic" w:hAnsi="Century Gothic" w:cs="Arial"/>
        </w:rPr>
        <w:t xml:space="preserve"> niñas y adolescentes, </w:t>
      </w:r>
      <w:r w:rsidR="00D66184" w:rsidRPr="002D6F59">
        <w:rPr>
          <w:rFonts w:ascii="Century Gothic" w:hAnsi="Century Gothic" w:cs="Arial"/>
        </w:rPr>
        <w:t xml:space="preserve">se evidencia que </w:t>
      </w:r>
      <w:r w:rsidRPr="002D6F59">
        <w:rPr>
          <w:rFonts w:ascii="Century Gothic" w:hAnsi="Century Gothic" w:cs="Arial"/>
        </w:rPr>
        <w:t>tiene</w:t>
      </w:r>
      <w:r w:rsidR="00D66184" w:rsidRPr="002D6F59">
        <w:rPr>
          <w:rFonts w:ascii="Century Gothic" w:hAnsi="Century Gothic" w:cs="Arial"/>
        </w:rPr>
        <w:t>n penas comparativamente menos graves que otros delitos que</w:t>
      </w:r>
      <w:r w:rsidRPr="002D6F59">
        <w:rPr>
          <w:rFonts w:ascii="Century Gothic" w:hAnsi="Century Gothic" w:cs="Arial"/>
        </w:rPr>
        <w:t xml:space="preserve"> afectan </w:t>
      </w:r>
      <w:r w:rsidR="00D66184" w:rsidRPr="002D6F59">
        <w:rPr>
          <w:rFonts w:ascii="Century Gothic" w:hAnsi="Century Gothic" w:cs="Arial"/>
        </w:rPr>
        <w:t>bienes jurídicos, y q</w:t>
      </w:r>
      <w:r w:rsidRPr="002D6F59">
        <w:rPr>
          <w:rFonts w:ascii="Century Gothic" w:hAnsi="Century Gothic" w:cs="Arial"/>
        </w:rPr>
        <w:t>ue incluso son menos importantes que la libertad</w:t>
      </w:r>
      <w:r w:rsidR="00D66184" w:rsidRPr="002D6F59">
        <w:rPr>
          <w:rFonts w:ascii="Century Gothic" w:hAnsi="Century Gothic" w:cs="Arial"/>
        </w:rPr>
        <w:t>,</w:t>
      </w:r>
      <w:r w:rsidRPr="002D6F59">
        <w:rPr>
          <w:rFonts w:ascii="Century Gothic" w:hAnsi="Century Gothic" w:cs="Arial"/>
        </w:rPr>
        <w:t xml:space="preserve"> la integridad y la formación sexual de los menores. En efecto, si se examinan algunos de estos delitos se encontrará que, </w:t>
      </w:r>
      <w:r w:rsidR="00D66184" w:rsidRPr="002D6F59">
        <w:rPr>
          <w:rFonts w:ascii="Century Gothic" w:hAnsi="Century Gothic" w:cs="Arial"/>
        </w:rPr>
        <w:t xml:space="preserve">incluso </w:t>
      </w:r>
      <w:r w:rsidRPr="002D6F59">
        <w:rPr>
          <w:rFonts w:ascii="Century Gothic" w:hAnsi="Century Gothic" w:cs="Arial"/>
        </w:rPr>
        <w:t xml:space="preserve">con el agravante </w:t>
      </w:r>
      <w:r w:rsidR="00D66184" w:rsidRPr="002D6F59">
        <w:rPr>
          <w:rFonts w:ascii="Century Gothic" w:hAnsi="Century Gothic" w:cs="Arial"/>
        </w:rPr>
        <w:t>de</w:t>
      </w:r>
      <w:r w:rsidRPr="002D6F59">
        <w:rPr>
          <w:rFonts w:ascii="Century Gothic" w:hAnsi="Century Gothic" w:cs="Arial"/>
        </w:rPr>
        <w:t xml:space="preserve"> trata</w:t>
      </w:r>
      <w:r w:rsidR="00D66184" w:rsidRPr="002D6F59">
        <w:rPr>
          <w:rFonts w:ascii="Century Gothic" w:hAnsi="Century Gothic" w:cs="Arial"/>
        </w:rPr>
        <w:t>rse</w:t>
      </w:r>
      <w:r w:rsidRPr="002D6F59">
        <w:rPr>
          <w:rFonts w:ascii="Century Gothic" w:hAnsi="Century Gothic" w:cs="Arial"/>
        </w:rPr>
        <w:t xml:space="preserve"> de víctimas menores de edad, la pena resulta inferior que otros delitos menos graves. A continuación se presentan algunos ejemplos de las actuales penas aplicables</w:t>
      </w:r>
      <w:r w:rsidRPr="002D6F59">
        <w:rPr>
          <w:rStyle w:val="Refdenotaalpie"/>
          <w:rFonts w:ascii="Century Gothic" w:hAnsi="Century Gothic" w:cs="Arial"/>
        </w:rPr>
        <w:footnoteReference w:id="5"/>
      </w:r>
      <w:r w:rsidRPr="002D6F59">
        <w:rPr>
          <w:rFonts w:ascii="Century Gothic" w:hAnsi="Century Gothic" w:cs="Arial"/>
        </w:rPr>
        <w:t>:</w:t>
      </w:r>
    </w:p>
    <w:p w14:paraId="614F9AF3" w14:textId="77777777" w:rsidR="00BC121A" w:rsidRPr="002D6F59" w:rsidRDefault="00BC121A" w:rsidP="00900DCE">
      <w:pPr>
        <w:jc w:val="both"/>
        <w:rPr>
          <w:rFonts w:ascii="Century Gothic" w:hAnsi="Century Gothic" w:cs="Arial"/>
          <w:b/>
        </w:rPr>
      </w:pPr>
    </w:p>
    <w:p w14:paraId="45F83B70" w14:textId="21E648ED" w:rsidR="00BC121A" w:rsidRPr="002D6F59" w:rsidRDefault="00BC121A" w:rsidP="00B17AB2">
      <w:pPr>
        <w:pStyle w:val="Prrafodelista"/>
        <w:numPr>
          <w:ilvl w:val="0"/>
          <w:numId w:val="38"/>
        </w:numPr>
        <w:spacing w:after="0"/>
        <w:jc w:val="both"/>
        <w:rPr>
          <w:rFonts w:ascii="Century Gothic" w:hAnsi="Century Gothic" w:cs="Arial"/>
          <w:sz w:val="24"/>
          <w:szCs w:val="24"/>
        </w:rPr>
      </w:pPr>
      <w:r w:rsidRPr="002D6F59">
        <w:rPr>
          <w:rFonts w:ascii="Century Gothic" w:hAnsi="Century Gothic" w:cs="Arial"/>
          <w:b/>
          <w:sz w:val="24"/>
          <w:szCs w:val="24"/>
        </w:rPr>
        <w:t>Acceso carnal violento (art. 205 CP):</w:t>
      </w:r>
      <w:r w:rsidRPr="002D6F59">
        <w:rPr>
          <w:rFonts w:ascii="Century Gothic" w:hAnsi="Century Gothic" w:cs="Arial"/>
          <w:sz w:val="24"/>
          <w:szCs w:val="24"/>
        </w:rPr>
        <w:t xml:space="preserve"> Esta conducta tiene una pena de doce (12) años </w:t>
      </w:r>
      <w:r w:rsidR="00D66184" w:rsidRPr="002D6F59">
        <w:rPr>
          <w:rFonts w:ascii="Century Gothic" w:hAnsi="Century Gothic" w:cs="Arial"/>
          <w:sz w:val="24"/>
          <w:szCs w:val="24"/>
        </w:rPr>
        <w:t>a veinte (20) años de prisión. C</w:t>
      </w:r>
      <w:r w:rsidRPr="002D6F59">
        <w:rPr>
          <w:rFonts w:ascii="Century Gothic" w:hAnsi="Century Gothic" w:cs="Arial"/>
          <w:sz w:val="24"/>
          <w:szCs w:val="24"/>
        </w:rPr>
        <w:t>uando este delito es agravado (art. 211 CP), la pena aumentará de una tercera parte a la mitad, quedando de dieciséis (16) años a treinta (30) años de prisión.</w:t>
      </w:r>
    </w:p>
    <w:p w14:paraId="5F0D0563" w14:textId="77777777" w:rsidR="00BC121A" w:rsidRPr="002D6F59" w:rsidRDefault="00BC121A" w:rsidP="00A4664D">
      <w:pPr>
        <w:pStyle w:val="Prrafodelista"/>
        <w:spacing w:line="240" w:lineRule="auto"/>
        <w:jc w:val="both"/>
        <w:rPr>
          <w:rFonts w:ascii="Century Gothic" w:hAnsi="Century Gothic" w:cs="Arial"/>
          <w:sz w:val="24"/>
          <w:szCs w:val="24"/>
        </w:rPr>
      </w:pPr>
    </w:p>
    <w:p w14:paraId="11948EAB" w14:textId="77777777" w:rsidR="00BC121A" w:rsidRPr="002D6F59" w:rsidRDefault="00BC121A" w:rsidP="00B17AB2">
      <w:pPr>
        <w:pStyle w:val="Prrafodelista"/>
        <w:numPr>
          <w:ilvl w:val="0"/>
          <w:numId w:val="38"/>
        </w:numPr>
        <w:spacing w:after="0"/>
        <w:jc w:val="both"/>
        <w:rPr>
          <w:rFonts w:ascii="Century Gothic" w:hAnsi="Century Gothic" w:cs="Arial"/>
          <w:sz w:val="24"/>
          <w:szCs w:val="24"/>
        </w:rPr>
      </w:pPr>
      <w:r w:rsidRPr="002D6F59">
        <w:rPr>
          <w:rFonts w:ascii="Century Gothic" w:hAnsi="Century Gothic" w:cs="Arial"/>
          <w:b/>
          <w:sz w:val="24"/>
          <w:szCs w:val="24"/>
        </w:rPr>
        <w:t>Acceso carnal o acto sexual en persona puesta en incapacidad de resistir (art. 207</w:t>
      </w:r>
      <w:r w:rsidRPr="002D6F59">
        <w:rPr>
          <w:rFonts w:ascii="Century Gothic" w:hAnsi="Century Gothic" w:cs="Arial"/>
          <w:b/>
          <w:bCs/>
          <w:smallCaps/>
          <w:sz w:val="24"/>
          <w:szCs w:val="24"/>
        </w:rPr>
        <w:t xml:space="preserve"> CP</w:t>
      </w:r>
      <w:r w:rsidRPr="002D6F59">
        <w:rPr>
          <w:rFonts w:ascii="Century Gothic" w:hAnsi="Century Gothic" w:cs="Arial"/>
          <w:b/>
          <w:sz w:val="24"/>
          <w:szCs w:val="24"/>
        </w:rPr>
        <w:t xml:space="preserve">): </w:t>
      </w:r>
      <w:r w:rsidRPr="002D6F59">
        <w:rPr>
          <w:rFonts w:ascii="Century Gothic" w:hAnsi="Century Gothic" w:cs="Arial"/>
          <w:sz w:val="24"/>
          <w:szCs w:val="24"/>
        </w:rPr>
        <w:t>La pena de este delito es de doce (12) años a veinte (20) años de prisión cuando es acceso carnal y de (8) años a dieciséis (16) años cuando es acto sexual. Si la conducta es agravada (art. 211 CP), la pena aumentará de una tercera parte a la mitad: si es acceso carnal la pena es de dieciséis (16) años a treinta (30) años de prisión. Si se trata de un acto sexual la pena es de diez (10) años y ocho (8) meses a veinticuatro (24) años de prisión.</w:t>
      </w:r>
    </w:p>
    <w:p w14:paraId="0B31F896" w14:textId="77777777" w:rsidR="00BC121A" w:rsidRPr="002D6F59" w:rsidRDefault="00BC121A" w:rsidP="00A4664D">
      <w:pPr>
        <w:ind w:left="360"/>
        <w:jc w:val="both"/>
        <w:rPr>
          <w:rFonts w:ascii="Century Gothic" w:hAnsi="Century Gothic" w:cs="Arial"/>
        </w:rPr>
      </w:pPr>
    </w:p>
    <w:p w14:paraId="171A4A64" w14:textId="6CA79951" w:rsidR="00BC121A" w:rsidRPr="002D6F59" w:rsidRDefault="00BC121A" w:rsidP="00B17AB2">
      <w:pPr>
        <w:numPr>
          <w:ilvl w:val="0"/>
          <w:numId w:val="38"/>
        </w:numPr>
        <w:spacing w:line="276" w:lineRule="auto"/>
        <w:jc w:val="both"/>
        <w:rPr>
          <w:rFonts w:ascii="Century Gothic" w:hAnsi="Century Gothic" w:cs="Arial"/>
        </w:rPr>
      </w:pPr>
      <w:r w:rsidRPr="002D6F59">
        <w:rPr>
          <w:rFonts w:ascii="Century Gothic" w:eastAsia="Georgia" w:hAnsi="Century Gothic" w:cs="Arial"/>
          <w:b/>
          <w:bCs/>
          <w:lang w:val="es-ES"/>
        </w:rPr>
        <w:t>Acceso carnal violento en persona protegida (art. 138 CP):</w:t>
      </w:r>
      <w:r w:rsidR="00D66184" w:rsidRPr="002D6F59">
        <w:rPr>
          <w:rFonts w:ascii="Century Gothic" w:hAnsi="Century Gothic" w:cs="Arial"/>
        </w:rPr>
        <w:t xml:space="preserve"> L</w:t>
      </w:r>
      <w:r w:rsidRPr="002D6F59">
        <w:rPr>
          <w:rFonts w:ascii="Century Gothic" w:hAnsi="Century Gothic" w:cs="Arial"/>
        </w:rPr>
        <w:t>a pena establecida es de trece (13) años y cuatro (4) meses a veintisiete (27) años.  Si se trata de una conducta agravada, (art. 211 CP), la pena aumentará de una tercera parte a la mitad, es decir, de diecisiete 17 años y once (11) meses a cuarenta (40) años y seis (6) meses de prisión.</w:t>
      </w:r>
    </w:p>
    <w:p w14:paraId="66A4A522" w14:textId="77777777" w:rsidR="00BC121A" w:rsidRPr="002D6F59" w:rsidRDefault="00BC121A" w:rsidP="00A4664D">
      <w:pPr>
        <w:ind w:left="360"/>
        <w:jc w:val="both"/>
        <w:rPr>
          <w:rFonts w:ascii="Century Gothic" w:hAnsi="Century Gothic" w:cs="Arial"/>
        </w:rPr>
      </w:pPr>
    </w:p>
    <w:p w14:paraId="555FFC24" w14:textId="06EE803B" w:rsidR="00BC121A" w:rsidRPr="002D6F59" w:rsidRDefault="00BC121A" w:rsidP="00B17AB2">
      <w:pPr>
        <w:numPr>
          <w:ilvl w:val="0"/>
          <w:numId w:val="38"/>
        </w:numPr>
        <w:spacing w:line="276" w:lineRule="auto"/>
        <w:jc w:val="both"/>
        <w:rPr>
          <w:rFonts w:ascii="Century Gothic" w:hAnsi="Century Gothic" w:cs="Arial"/>
        </w:rPr>
      </w:pPr>
      <w:r w:rsidRPr="002D6F59">
        <w:rPr>
          <w:rFonts w:ascii="Century Gothic" w:eastAsia="Georgia" w:hAnsi="Century Gothic" w:cs="Arial"/>
          <w:b/>
          <w:bCs/>
          <w:lang w:val="es-ES"/>
        </w:rPr>
        <w:t>Acceso carnal violento en persona protegida menor de catorce años (art 138a CP):</w:t>
      </w:r>
      <w:r w:rsidR="00B77F9D" w:rsidRPr="002D6F59">
        <w:rPr>
          <w:rFonts w:ascii="Century Gothic" w:eastAsia="Georgia" w:hAnsi="Century Gothic" w:cs="Arial"/>
          <w:lang w:val="es-ES"/>
        </w:rPr>
        <w:t xml:space="preserve"> S</w:t>
      </w:r>
      <w:r w:rsidRPr="002D6F59">
        <w:rPr>
          <w:rFonts w:ascii="Century Gothic" w:eastAsia="Georgia" w:hAnsi="Century Gothic" w:cs="Arial"/>
          <w:lang w:val="es-ES"/>
        </w:rPr>
        <w:t>u pena es de trece años (13) y cuatro (4) meses a veintisiete (27) años.</w:t>
      </w:r>
    </w:p>
    <w:p w14:paraId="5E58D568" w14:textId="77777777" w:rsidR="00BC121A" w:rsidRPr="002D6F59" w:rsidRDefault="00BC121A" w:rsidP="00B17AB2">
      <w:pPr>
        <w:spacing w:line="276" w:lineRule="auto"/>
        <w:jc w:val="both"/>
        <w:rPr>
          <w:rFonts w:ascii="Century Gothic" w:hAnsi="Century Gothic" w:cs="Arial"/>
        </w:rPr>
      </w:pPr>
    </w:p>
    <w:p w14:paraId="10FFD8F1" w14:textId="77777777" w:rsidR="00BC121A" w:rsidRPr="002D6F59" w:rsidRDefault="00BC121A" w:rsidP="00B17AB2">
      <w:pPr>
        <w:numPr>
          <w:ilvl w:val="0"/>
          <w:numId w:val="38"/>
        </w:numPr>
        <w:spacing w:line="276" w:lineRule="auto"/>
        <w:jc w:val="both"/>
        <w:rPr>
          <w:rFonts w:ascii="Century Gothic" w:eastAsia="Georgia" w:hAnsi="Century Gothic" w:cs="Arial"/>
          <w:b/>
          <w:bCs/>
          <w:lang w:val="es-ES"/>
        </w:rPr>
      </w:pPr>
      <w:r w:rsidRPr="002D6F59">
        <w:rPr>
          <w:rFonts w:ascii="Century Gothic" w:eastAsia="Georgia" w:hAnsi="Century Gothic" w:cs="Arial"/>
          <w:b/>
          <w:bCs/>
          <w:lang w:val="es-ES"/>
        </w:rPr>
        <w:t xml:space="preserve">Actos sexuales violentos en persona protegida (art. 139 CP): </w:t>
      </w:r>
      <w:r w:rsidRPr="002D6F59">
        <w:rPr>
          <w:rFonts w:ascii="Century Gothic" w:eastAsia="Georgia" w:hAnsi="Century Gothic" w:cs="Arial"/>
          <w:bCs/>
          <w:lang w:val="es-ES"/>
        </w:rPr>
        <w:t xml:space="preserve">La establecida es de cinco (5) años y cuatro (4) meses a trece (13) años y seis (6) meses de prisión. Cuando el delito es </w:t>
      </w:r>
      <w:r w:rsidRPr="002D6F59">
        <w:rPr>
          <w:rFonts w:ascii="Century Gothic" w:hAnsi="Century Gothic" w:cs="Arial"/>
        </w:rPr>
        <w:t xml:space="preserve">agravado (art. 211 CP), la </w:t>
      </w:r>
      <w:r w:rsidRPr="002D6F59">
        <w:rPr>
          <w:rFonts w:ascii="Century Gothic" w:hAnsi="Century Gothic" w:cs="Arial"/>
        </w:rPr>
        <w:lastRenderedPageBreak/>
        <w:t>pena aumentará de una tercera parte a la mitad, siendo de siete 7 años y dos (2) meses a veintisiete (27) años de prisión.</w:t>
      </w:r>
    </w:p>
    <w:p w14:paraId="42324714" w14:textId="77777777" w:rsidR="00BC121A" w:rsidRPr="002D6F59" w:rsidRDefault="00BC121A" w:rsidP="00A4664D">
      <w:pPr>
        <w:pStyle w:val="Prrafodelista"/>
        <w:spacing w:line="240" w:lineRule="auto"/>
        <w:jc w:val="both"/>
        <w:rPr>
          <w:rFonts w:ascii="Century Gothic" w:hAnsi="Century Gothic" w:cs="Arial"/>
          <w:sz w:val="24"/>
          <w:szCs w:val="24"/>
        </w:rPr>
      </w:pPr>
    </w:p>
    <w:p w14:paraId="1DDDA694" w14:textId="560EBA9A" w:rsidR="00BC121A" w:rsidRPr="002D6F59" w:rsidRDefault="00BC121A" w:rsidP="00B17AB2">
      <w:pPr>
        <w:pStyle w:val="Prrafodelista"/>
        <w:numPr>
          <w:ilvl w:val="0"/>
          <w:numId w:val="38"/>
        </w:numPr>
        <w:spacing w:after="0"/>
        <w:jc w:val="both"/>
        <w:rPr>
          <w:rFonts w:ascii="Century Gothic" w:eastAsia="Georgia" w:hAnsi="Century Gothic" w:cs="Arial"/>
          <w:b/>
          <w:bCs/>
          <w:sz w:val="24"/>
          <w:szCs w:val="24"/>
          <w:lang w:val="es-ES"/>
        </w:rPr>
      </w:pPr>
      <w:r w:rsidRPr="002D6F59">
        <w:rPr>
          <w:rFonts w:ascii="Century Gothic" w:eastAsia="Georgia" w:hAnsi="Century Gothic" w:cs="Arial"/>
          <w:b/>
          <w:bCs/>
          <w:sz w:val="24"/>
          <w:szCs w:val="24"/>
          <w:lang w:val="es-ES"/>
        </w:rPr>
        <w:t xml:space="preserve">Prostitución forzada en persona protegida (art. 140 CP): </w:t>
      </w:r>
      <w:r w:rsidR="00B77F9D" w:rsidRPr="002D6F59">
        <w:rPr>
          <w:rFonts w:ascii="Century Gothic" w:eastAsia="Georgia" w:hAnsi="Century Gothic" w:cs="Arial"/>
          <w:bCs/>
          <w:sz w:val="24"/>
          <w:szCs w:val="24"/>
          <w:lang w:val="es-ES"/>
        </w:rPr>
        <w:t>E</w:t>
      </w:r>
      <w:r w:rsidRPr="002D6F59">
        <w:rPr>
          <w:rFonts w:ascii="Century Gothic" w:eastAsia="Georgia" w:hAnsi="Century Gothic" w:cs="Arial"/>
          <w:bCs/>
          <w:sz w:val="24"/>
          <w:szCs w:val="24"/>
          <w:lang w:val="es-ES"/>
        </w:rPr>
        <w:t>ste delito tiene una pena de trece (13) años y cuatro (4) meses a veintisiete (27) años de prisión.</w:t>
      </w:r>
    </w:p>
    <w:p w14:paraId="5B4C4D36" w14:textId="77777777" w:rsidR="00BC121A" w:rsidRPr="002D6F59" w:rsidRDefault="00BC121A" w:rsidP="00A4664D">
      <w:pPr>
        <w:jc w:val="both"/>
        <w:rPr>
          <w:rFonts w:ascii="Century Gothic" w:hAnsi="Century Gothic" w:cs="Arial"/>
        </w:rPr>
      </w:pPr>
    </w:p>
    <w:p w14:paraId="193AFB78" w14:textId="67D7775E" w:rsidR="00BC121A" w:rsidRPr="002D6F59" w:rsidRDefault="00BC121A" w:rsidP="00B17AB2">
      <w:pPr>
        <w:pStyle w:val="Prrafodelista"/>
        <w:numPr>
          <w:ilvl w:val="0"/>
          <w:numId w:val="39"/>
        </w:numPr>
        <w:spacing w:after="0"/>
        <w:jc w:val="both"/>
        <w:rPr>
          <w:rFonts w:ascii="Century Gothic" w:hAnsi="Century Gothic" w:cs="Arial"/>
          <w:sz w:val="24"/>
          <w:szCs w:val="24"/>
        </w:rPr>
      </w:pPr>
      <w:r w:rsidRPr="002D6F59">
        <w:rPr>
          <w:rFonts w:ascii="Century Gothic" w:hAnsi="Century Gothic" w:cs="Arial"/>
          <w:b/>
          <w:bCs/>
          <w:sz w:val="24"/>
          <w:szCs w:val="24"/>
        </w:rPr>
        <w:t>Proxenetismo con menor de edad (art. 213ª CP)</w:t>
      </w:r>
      <w:r w:rsidR="00B77F9D" w:rsidRPr="002D6F59">
        <w:rPr>
          <w:rFonts w:ascii="Century Gothic" w:hAnsi="Century Gothic" w:cs="Arial"/>
          <w:b/>
          <w:bCs/>
          <w:sz w:val="24"/>
          <w:szCs w:val="24"/>
        </w:rPr>
        <w:t>:</w:t>
      </w:r>
      <w:r w:rsidR="00B77F9D" w:rsidRPr="002D6F59">
        <w:rPr>
          <w:rFonts w:ascii="Century Gothic" w:hAnsi="Century Gothic" w:cs="Arial"/>
          <w:b/>
          <w:bCs/>
          <w:smallCaps/>
          <w:sz w:val="24"/>
          <w:szCs w:val="24"/>
        </w:rPr>
        <w:t xml:space="preserve"> </w:t>
      </w:r>
      <w:r w:rsidR="00B77F9D" w:rsidRPr="002D6F59">
        <w:rPr>
          <w:rFonts w:ascii="Century Gothic" w:hAnsi="Century Gothic" w:cs="Arial"/>
          <w:sz w:val="24"/>
          <w:szCs w:val="24"/>
        </w:rPr>
        <w:t>La</w:t>
      </w:r>
      <w:r w:rsidRPr="002D6F59">
        <w:rPr>
          <w:rFonts w:ascii="Century Gothic" w:hAnsi="Century Gothic" w:cs="Arial"/>
          <w:sz w:val="24"/>
          <w:szCs w:val="24"/>
        </w:rPr>
        <w:t xml:space="preserve"> pena consagrada para esta conducta es de catorce (14) años a veinticinco (25) años de prisión y multa de sesenta y siente (67) a setecientos cincuenta (750) salarios mínimos legales mensuales vigentes. Si el hecho es agravado (art. 216 CP), esto es, cuando se realizare sobre persona menor de catorce (14) años, la pena aumentará de una terce</w:t>
      </w:r>
      <w:r w:rsidR="00B77F9D" w:rsidRPr="002D6F59">
        <w:rPr>
          <w:rFonts w:ascii="Century Gothic" w:hAnsi="Century Gothic" w:cs="Arial"/>
          <w:sz w:val="24"/>
          <w:szCs w:val="24"/>
        </w:rPr>
        <w:t>ra parte a la mitad, quedando de</w:t>
      </w:r>
      <w:r w:rsidRPr="002D6F59">
        <w:rPr>
          <w:rFonts w:ascii="Century Gothic" w:hAnsi="Century Gothic" w:cs="Arial"/>
          <w:sz w:val="24"/>
          <w:szCs w:val="24"/>
        </w:rPr>
        <w:t xml:space="preserve"> 18 años y 8 meses a 37 años y 6 meses.</w:t>
      </w:r>
    </w:p>
    <w:p w14:paraId="06CDDED3" w14:textId="77777777" w:rsidR="00BC121A" w:rsidRPr="002D6F59" w:rsidRDefault="00BC121A" w:rsidP="00A4664D">
      <w:pPr>
        <w:pStyle w:val="Prrafodelista"/>
        <w:spacing w:line="240" w:lineRule="auto"/>
        <w:jc w:val="both"/>
        <w:rPr>
          <w:rFonts w:ascii="Century Gothic" w:hAnsi="Century Gothic" w:cs="Arial"/>
          <w:sz w:val="24"/>
          <w:szCs w:val="24"/>
        </w:rPr>
      </w:pPr>
    </w:p>
    <w:p w14:paraId="22E9E8EB" w14:textId="569E4485" w:rsidR="00BC121A" w:rsidRPr="002D6F59" w:rsidRDefault="00BC121A" w:rsidP="00B17AB2">
      <w:pPr>
        <w:pStyle w:val="Prrafodelista"/>
        <w:numPr>
          <w:ilvl w:val="0"/>
          <w:numId w:val="39"/>
        </w:numPr>
        <w:spacing w:after="0"/>
        <w:jc w:val="both"/>
        <w:rPr>
          <w:rFonts w:ascii="Century Gothic" w:hAnsi="Century Gothic" w:cs="Arial"/>
          <w:sz w:val="24"/>
          <w:szCs w:val="24"/>
        </w:rPr>
      </w:pPr>
      <w:r w:rsidRPr="002D6F59">
        <w:rPr>
          <w:rFonts w:ascii="Century Gothic" w:hAnsi="Century Gothic" w:cs="Arial"/>
          <w:b/>
          <w:bCs/>
          <w:sz w:val="24"/>
          <w:szCs w:val="24"/>
        </w:rPr>
        <w:t xml:space="preserve">Constreñimiento a la prostitución </w:t>
      </w:r>
      <w:r w:rsidRPr="002D6F59">
        <w:rPr>
          <w:rFonts w:ascii="Century Gothic" w:hAnsi="Century Gothic" w:cs="Arial"/>
          <w:b/>
          <w:bCs/>
          <w:smallCaps/>
          <w:sz w:val="24"/>
          <w:szCs w:val="24"/>
        </w:rPr>
        <w:t xml:space="preserve">(art. 214 </w:t>
      </w:r>
      <w:r w:rsidR="00B77F9D" w:rsidRPr="002D6F59">
        <w:rPr>
          <w:rFonts w:ascii="Century Gothic" w:hAnsi="Century Gothic" w:cs="Arial"/>
          <w:b/>
          <w:bCs/>
          <w:smallCaps/>
          <w:sz w:val="24"/>
          <w:szCs w:val="24"/>
        </w:rPr>
        <w:t>CP</w:t>
      </w:r>
      <w:r w:rsidRPr="002D6F59">
        <w:rPr>
          <w:rFonts w:ascii="Century Gothic" w:hAnsi="Century Gothic" w:cs="Arial"/>
          <w:b/>
          <w:bCs/>
          <w:smallCaps/>
          <w:sz w:val="24"/>
          <w:szCs w:val="24"/>
        </w:rPr>
        <w:t>):</w:t>
      </w:r>
      <w:r w:rsidRPr="002D6F59">
        <w:rPr>
          <w:rFonts w:ascii="Century Gothic" w:hAnsi="Century Gothic" w:cs="Arial"/>
          <w:sz w:val="24"/>
          <w:szCs w:val="24"/>
        </w:rPr>
        <w:t xml:space="preserve"> Su pena es de nueve (9) años a trece (13) años de prisión. Si se aplica el agravante (art. </w:t>
      </w:r>
      <w:r w:rsidR="00B77F9D" w:rsidRPr="002D6F59">
        <w:rPr>
          <w:rFonts w:ascii="Century Gothic" w:hAnsi="Century Gothic" w:cs="Arial"/>
          <w:sz w:val="24"/>
          <w:szCs w:val="24"/>
        </w:rPr>
        <w:t>216 CP</w:t>
      </w:r>
      <w:r w:rsidRPr="002D6F59">
        <w:rPr>
          <w:rFonts w:ascii="Century Gothic" w:hAnsi="Century Gothic" w:cs="Arial"/>
          <w:sz w:val="24"/>
          <w:szCs w:val="24"/>
        </w:rPr>
        <w:t>) cuando se realizare sobre persona menor de catorce (14) años, la pena aumentará de una tercera</w:t>
      </w:r>
      <w:r w:rsidR="00B77F9D" w:rsidRPr="002D6F59">
        <w:rPr>
          <w:rFonts w:ascii="Century Gothic" w:hAnsi="Century Gothic" w:cs="Arial"/>
          <w:sz w:val="24"/>
          <w:szCs w:val="24"/>
        </w:rPr>
        <w:t xml:space="preserve"> parte a la mitad, siendo de </w:t>
      </w:r>
      <w:r w:rsidRPr="002D6F59">
        <w:rPr>
          <w:rFonts w:ascii="Century Gothic" w:hAnsi="Century Gothic" w:cs="Arial"/>
          <w:sz w:val="24"/>
          <w:szCs w:val="24"/>
        </w:rPr>
        <w:t>12 años a 19 años y 6 meses y una multa de ochenta y ocho (88) a mil doscientos veinticinco (1.125) salarios mínimos legales mensuales vigentes.</w:t>
      </w:r>
    </w:p>
    <w:p w14:paraId="029955EB" w14:textId="77777777" w:rsidR="00BC121A" w:rsidRPr="002D6F59" w:rsidRDefault="00BC121A" w:rsidP="00A4664D">
      <w:pPr>
        <w:ind w:left="360"/>
        <w:jc w:val="both"/>
        <w:rPr>
          <w:rFonts w:ascii="Century Gothic" w:hAnsi="Century Gothic" w:cs="Arial"/>
        </w:rPr>
      </w:pPr>
    </w:p>
    <w:p w14:paraId="4F81C3FB" w14:textId="0D0340D1" w:rsidR="00BC121A" w:rsidRPr="002D6F59" w:rsidRDefault="00BC121A" w:rsidP="00B17AB2">
      <w:pPr>
        <w:spacing w:line="276" w:lineRule="auto"/>
        <w:jc w:val="both"/>
        <w:rPr>
          <w:rFonts w:ascii="Century Gothic" w:eastAsia="Georgia" w:hAnsi="Century Gothic" w:cs="Arial"/>
          <w:bCs/>
          <w:lang w:val="es-ES"/>
        </w:rPr>
      </w:pPr>
      <w:r w:rsidRPr="002D6F59">
        <w:rPr>
          <w:rFonts w:ascii="Century Gothic" w:eastAsia="Georgia" w:hAnsi="Century Gothic" w:cs="Arial"/>
          <w:bCs/>
          <w:lang w:val="es-ES"/>
        </w:rPr>
        <w:t xml:space="preserve">Teniendo en cuenta lo anterior, tenemos </w:t>
      </w:r>
      <w:r w:rsidR="00B77F9D" w:rsidRPr="002D6F59">
        <w:rPr>
          <w:rFonts w:ascii="Century Gothic" w:eastAsia="Georgia" w:hAnsi="Century Gothic" w:cs="Arial"/>
          <w:bCs/>
          <w:lang w:val="es-ES"/>
        </w:rPr>
        <w:t>que delitos</w:t>
      </w:r>
      <w:r w:rsidRPr="002D6F59">
        <w:rPr>
          <w:rFonts w:ascii="Century Gothic" w:eastAsia="Georgia" w:hAnsi="Century Gothic" w:cs="Arial"/>
          <w:bCs/>
          <w:lang w:val="es-ES"/>
        </w:rPr>
        <w:t xml:space="preserve"> c</w:t>
      </w:r>
      <w:r w:rsidR="00B77F9D" w:rsidRPr="002D6F59">
        <w:rPr>
          <w:rFonts w:ascii="Century Gothic" w:eastAsia="Georgia" w:hAnsi="Century Gothic" w:cs="Arial"/>
          <w:bCs/>
          <w:lang w:val="es-ES"/>
        </w:rPr>
        <w:t>omo el acceso carnal violento, i</w:t>
      </w:r>
      <w:r w:rsidRPr="002D6F59">
        <w:rPr>
          <w:rFonts w:ascii="Century Gothic" w:eastAsia="Georgia" w:hAnsi="Century Gothic" w:cs="Arial"/>
          <w:bCs/>
          <w:lang w:val="es-ES"/>
        </w:rPr>
        <w:t xml:space="preserve">ncluso cuando se realiza en contra de un menor, tiene una pena máxima de 30 años, </w:t>
      </w:r>
      <w:r w:rsidR="00902E91" w:rsidRPr="002D6F59">
        <w:rPr>
          <w:rFonts w:ascii="Century Gothic" w:eastAsia="Georgia" w:hAnsi="Century Gothic" w:cs="Arial"/>
          <w:bCs/>
          <w:lang w:val="es-ES"/>
        </w:rPr>
        <w:t>de la misma forma</w:t>
      </w:r>
      <w:r w:rsidRPr="002D6F59">
        <w:rPr>
          <w:rFonts w:ascii="Century Gothic" w:eastAsia="Georgia" w:hAnsi="Century Gothic" w:cs="Arial"/>
          <w:bCs/>
          <w:lang w:val="es-ES"/>
        </w:rPr>
        <w:t xml:space="preserve"> el acto sexual o el acceso carnal con persona incapaz de resistir, agravado por ser la victima un menor de edad tiene una pena </w:t>
      </w:r>
      <w:r w:rsidR="002442EA" w:rsidRPr="002D6F59">
        <w:rPr>
          <w:rFonts w:ascii="Century Gothic" w:eastAsia="Georgia" w:hAnsi="Century Gothic" w:cs="Arial"/>
          <w:bCs/>
          <w:lang w:val="es-ES"/>
        </w:rPr>
        <w:t>de</w:t>
      </w:r>
      <w:r w:rsidRPr="002D6F59">
        <w:rPr>
          <w:rFonts w:ascii="Century Gothic" w:eastAsia="Georgia" w:hAnsi="Century Gothic" w:cs="Arial"/>
          <w:bCs/>
          <w:lang w:val="es-ES"/>
        </w:rPr>
        <w:t xml:space="preserve"> 27 años de </w:t>
      </w:r>
      <w:r w:rsidR="00902E91" w:rsidRPr="002D6F59">
        <w:rPr>
          <w:rFonts w:ascii="Century Gothic" w:eastAsia="Georgia" w:hAnsi="Century Gothic" w:cs="Arial"/>
          <w:bCs/>
          <w:lang w:val="es-ES"/>
        </w:rPr>
        <w:t>prisión, el</w:t>
      </w:r>
      <w:r w:rsidRPr="002D6F59">
        <w:rPr>
          <w:rFonts w:ascii="Century Gothic" w:eastAsia="Georgia" w:hAnsi="Century Gothic" w:cs="Arial"/>
          <w:bCs/>
          <w:lang w:val="es-ES"/>
        </w:rPr>
        <w:t xml:space="preserve"> proxenetismo agravado cuando se trata de un menor de 14 años tiene, a su vez, una pena de 37 años. De igual forma, los delitos sexuales contra menores en el marco del conflicto armado, esto es, cuando atentan contra bienes jurídicos protegidos por el derecho internacional humanitario, la pena máxima es de 27 años.</w:t>
      </w:r>
    </w:p>
    <w:p w14:paraId="40484316" w14:textId="77777777" w:rsidR="00BC121A" w:rsidRPr="002D6F59" w:rsidRDefault="00BC121A" w:rsidP="00A4664D">
      <w:pPr>
        <w:jc w:val="both"/>
        <w:rPr>
          <w:rFonts w:ascii="Century Gothic" w:eastAsia="Georgia" w:hAnsi="Century Gothic" w:cs="Arial"/>
          <w:bCs/>
          <w:lang w:val="es-ES"/>
        </w:rPr>
      </w:pPr>
    </w:p>
    <w:p w14:paraId="2F4277BD" w14:textId="3A82EC61" w:rsidR="00BC121A" w:rsidRPr="002D6F59" w:rsidRDefault="00BC121A" w:rsidP="00B17AB2">
      <w:pPr>
        <w:spacing w:line="276" w:lineRule="auto"/>
        <w:jc w:val="both"/>
        <w:rPr>
          <w:rFonts w:ascii="Century Gothic" w:eastAsia="Georgia" w:hAnsi="Century Gothic" w:cs="Arial"/>
          <w:bCs/>
          <w:lang w:val="es-ES"/>
        </w:rPr>
      </w:pPr>
      <w:r w:rsidRPr="002D6F59">
        <w:rPr>
          <w:rFonts w:ascii="Century Gothic" w:eastAsia="Georgia" w:hAnsi="Century Gothic" w:cs="Arial"/>
          <w:bCs/>
          <w:lang w:val="es-ES"/>
        </w:rPr>
        <w:t>Si bien estos delitos tienen penas que p</w:t>
      </w:r>
      <w:r w:rsidR="00B77F9D" w:rsidRPr="002D6F59">
        <w:rPr>
          <w:rFonts w:ascii="Century Gothic" w:eastAsia="Georgia" w:hAnsi="Century Gothic" w:cs="Arial"/>
          <w:bCs/>
          <w:lang w:val="es-ES"/>
        </w:rPr>
        <w:t>odrían ser consideradas altas, s</w:t>
      </w:r>
      <w:r w:rsidRPr="002D6F59">
        <w:rPr>
          <w:rFonts w:ascii="Century Gothic" w:eastAsia="Georgia" w:hAnsi="Century Gothic" w:cs="Arial"/>
          <w:bCs/>
          <w:lang w:val="es-ES"/>
        </w:rPr>
        <w:t>i se examinan otros tipos penales que afectan bienes jurídicos de menor e</w:t>
      </w:r>
      <w:r w:rsidR="00B77F9D" w:rsidRPr="002D6F59">
        <w:rPr>
          <w:rFonts w:ascii="Century Gothic" w:eastAsia="Georgia" w:hAnsi="Century Gothic" w:cs="Arial"/>
          <w:bCs/>
          <w:lang w:val="es-ES"/>
        </w:rPr>
        <w:t>ntidad, se puede observar que, c</w:t>
      </w:r>
      <w:r w:rsidRPr="002D6F59">
        <w:rPr>
          <w:rFonts w:ascii="Century Gothic" w:eastAsia="Georgia" w:hAnsi="Century Gothic" w:cs="Arial"/>
          <w:bCs/>
          <w:lang w:val="es-ES"/>
        </w:rPr>
        <w:t xml:space="preserve">omparativamente, los delitos </w:t>
      </w:r>
      <w:r w:rsidR="00B77F9D" w:rsidRPr="002D6F59">
        <w:rPr>
          <w:rFonts w:ascii="Century Gothic" w:eastAsia="Georgia" w:hAnsi="Century Gothic" w:cs="Arial"/>
          <w:bCs/>
          <w:lang w:val="es-ES"/>
        </w:rPr>
        <w:t>sexuales contra menores tienen p</w:t>
      </w:r>
      <w:r w:rsidRPr="002D6F59">
        <w:rPr>
          <w:rFonts w:ascii="Century Gothic" w:eastAsia="Georgia" w:hAnsi="Century Gothic" w:cs="Arial"/>
          <w:bCs/>
          <w:lang w:val="es-ES"/>
        </w:rPr>
        <w:t xml:space="preserve">enas incluso menores que, por ejemplo, algunos delitos contra el patrimonio económico. En efecto, un hurto agravado (art. 240 CP) y calificado (art. 241 CP), cuando la cosa hurtada supera 100 salarios mínimos </w:t>
      </w:r>
      <w:r w:rsidRPr="002D6F59">
        <w:rPr>
          <w:rFonts w:ascii="Century Gothic" w:eastAsia="Georgia" w:hAnsi="Century Gothic" w:cs="Arial"/>
          <w:bCs/>
          <w:lang w:val="es-ES"/>
        </w:rPr>
        <w:lastRenderedPageBreak/>
        <w:t xml:space="preserve">legales mensuales vigentes (art. art. 267 CP), tiene una pena máxima de 36 años y 8 meses, es decir, una pena considerablemente mayor al acceso carnal violento y a otros delitos antes mencionados y casi igual que los delitos sexuales contra menores en el marco del conflicto armado. Otro ejemplo de esta desproporción es el delito de tráfico, fabricación o porte de estupefacientes (art. 376 CP. Inc. 1º) tiene una pena máxima de 30 años, esto es superior a varias de las conductas mencionadas. La misma situación sucede con el terrorismo agravado (art. 344 CP). </w:t>
      </w:r>
    </w:p>
    <w:p w14:paraId="23F851D9" w14:textId="77777777" w:rsidR="00BC121A" w:rsidRPr="002D6F59" w:rsidRDefault="00BC121A" w:rsidP="00A4664D">
      <w:pPr>
        <w:jc w:val="both"/>
        <w:rPr>
          <w:rFonts w:ascii="Century Gothic" w:eastAsia="Georgia" w:hAnsi="Century Gothic" w:cs="Arial"/>
          <w:bCs/>
          <w:lang w:val="es-ES"/>
        </w:rPr>
      </w:pPr>
    </w:p>
    <w:p w14:paraId="3349C5F9" w14:textId="6B1D9C70" w:rsidR="00BC121A" w:rsidRPr="002D6F59" w:rsidRDefault="00BC121A" w:rsidP="00B17AB2">
      <w:pPr>
        <w:spacing w:line="276" w:lineRule="auto"/>
        <w:jc w:val="both"/>
        <w:rPr>
          <w:rFonts w:ascii="Century Gothic" w:eastAsia="Georgia" w:hAnsi="Century Gothic" w:cs="Arial"/>
          <w:bCs/>
          <w:lang w:val="es-ES"/>
        </w:rPr>
      </w:pPr>
      <w:r w:rsidRPr="002D6F59">
        <w:rPr>
          <w:rFonts w:ascii="Century Gothic" w:eastAsia="Georgia" w:hAnsi="Century Gothic" w:cs="Arial"/>
          <w:bCs/>
          <w:lang w:val="es-ES"/>
        </w:rPr>
        <w:t>Podría pensarse que estos ejem</w:t>
      </w:r>
      <w:r w:rsidR="00B77F9D" w:rsidRPr="002D6F59">
        <w:rPr>
          <w:rFonts w:ascii="Century Gothic" w:eastAsia="Georgia" w:hAnsi="Century Gothic" w:cs="Arial"/>
          <w:bCs/>
          <w:lang w:val="es-ES"/>
        </w:rPr>
        <w:t>plos son situaciones aisladas, s</w:t>
      </w:r>
      <w:r w:rsidRPr="002D6F59">
        <w:rPr>
          <w:rFonts w:ascii="Century Gothic" w:eastAsia="Georgia" w:hAnsi="Century Gothic" w:cs="Arial"/>
          <w:bCs/>
          <w:lang w:val="es-ES"/>
        </w:rPr>
        <w:t xml:space="preserve">in </w:t>
      </w:r>
      <w:r w:rsidR="00900DCE" w:rsidRPr="002D6F59">
        <w:rPr>
          <w:rFonts w:ascii="Century Gothic" w:eastAsia="Georgia" w:hAnsi="Century Gothic" w:cs="Arial"/>
          <w:bCs/>
          <w:lang w:val="es-ES"/>
        </w:rPr>
        <w:t>embargo,</w:t>
      </w:r>
      <w:r w:rsidRPr="002D6F59">
        <w:rPr>
          <w:rFonts w:ascii="Century Gothic" w:eastAsia="Georgia" w:hAnsi="Century Gothic" w:cs="Arial"/>
          <w:bCs/>
          <w:lang w:val="es-ES"/>
        </w:rPr>
        <w:t xml:space="preserve"> si se </w:t>
      </w:r>
      <w:r w:rsidR="00902E91" w:rsidRPr="002D6F59">
        <w:rPr>
          <w:rFonts w:ascii="Century Gothic" w:eastAsia="Georgia" w:hAnsi="Century Gothic" w:cs="Arial"/>
          <w:bCs/>
          <w:lang w:val="es-ES"/>
        </w:rPr>
        <w:t>examinan los montos</w:t>
      </w:r>
      <w:r w:rsidRPr="002D6F59">
        <w:rPr>
          <w:rFonts w:ascii="Century Gothic" w:eastAsia="Georgia" w:hAnsi="Century Gothic" w:cs="Arial"/>
          <w:bCs/>
          <w:lang w:val="es-ES"/>
        </w:rPr>
        <w:t xml:space="preserve"> punitivos respecto de bienes jurídicos que son de igual importancia que la protección de la libertad integridad información sexual de los menores, se podrá observar </w:t>
      </w:r>
      <w:r w:rsidR="00902E91" w:rsidRPr="002D6F59">
        <w:rPr>
          <w:rFonts w:ascii="Century Gothic" w:eastAsia="Georgia" w:hAnsi="Century Gothic" w:cs="Arial"/>
          <w:bCs/>
          <w:lang w:val="es-ES"/>
        </w:rPr>
        <w:t>que estos</w:t>
      </w:r>
      <w:r w:rsidRPr="002D6F59">
        <w:rPr>
          <w:rFonts w:ascii="Century Gothic" w:eastAsia="Georgia" w:hAnsi="Century Gothic" w:cs="Arial"/>
          <w:bCs/>
          <w:lang w:val="es-ES"/>
        </w:rPr>
        <w:t xml:space="preserve"> delitos tienen penas menores que otras conductas igualmente graves. Las gráficas que se presentan a continuación</w:t>
      </w:r>
      <w:r w:rsidRPr="002D6F59">
        <w:rPr>
          <w:rStyle w:val="Refdenotaalpie"/>
          <w:rFonts w:ascii="Century Gothic" w:eastAsia="Georgia" w:hAnsi="Century Gothic" w:cs="Arial"/>
          <w:bCs/>
          <w:lang w:val="es-ES"/>
        </w:rPr>
        <w:footnoteReference w:id="6"/>
      </w:r>
      <w:r w:rsidRPr="002D6F59">
        <w:rPr>
          <w:rFonts w:ascii="Century Gothic" w:eastAsia="Georgia" w:hAnsi="Century Gothic" w:cs="Arial"/>
          <w:bCs/>
          <w:lang w:val="es-ES"/>
        </w:rPr>
        <w:t xml:space="preserve"> muestra la intensidad punitiva de acuerdo </w:t>
      </w:r>
      <w:r w:rsidR="00EF343E" w:rsidRPr="002D6F59">
        <w:rPr>
          <w:rFonts w:ascii="Century Gothic" w:eastAsia="Georgia" w:hAnsi="Century Gothic" w:cs="Arial"/>
          <w:bCs/>
          <w:lang w:val="es-ES"/>
        </w:rPr>
        <w:t xml:space="preserve">a los bienes jurídicos que </w:t>
      </w:r>
      <w:r w:rsidR="005627A0" w:rsidRPr="002D6F59">
        <w:rPr>
          <w:rFonts w:ascii="Century Gothic" w:eastAsia="Georgia" w:hAnsi="Century Gothic" w:cs="Arial"/>
          <w:bCs/>
          <w:lang w:val="es-ES"/>
        </w:rPr>
        <w:t>están</w:t>
      </w:r>
      <w:r w:rsidRPr="002D6F59">
        <w:rPr>
          <w:rFonts w:ascii="Century Gothic" w:eastAsia="Georgia" w:hAnsi="Century Gothic" w:cs="Arial"/>
          <w:bCs/>
          <w:lang w:val="es-ES"/>
        </w:rPr>
        <w:t xml:space="preserve"> en el Código Penal, de tal manera que “El valor 10 corresponde a la pena máxima posible en cada uno de los momentos comparados: 40 años en el 2000 y 50 años en el 2016. El valor 0 indica, o que la modalidad delictiva no contempla pena de prisión, o que la pena máxima de prisión es menor o igual a tres (3) años –en el caso del 2000–, o menor o igual a cuatro coma cinco (4,5) años -en el caso del 2016. Mayor a 10, por último, indica la presencia en el título de modalidades delictivas castigadas con pena de prisión por encima de los 50 años”</w:t>
      </w:r>
      <w:r w:rsidRPr="002D6F59">
        <w:rPr>
          <w:rStyle w:val="Refdenotaalpie"/>
          <w:rFonts w:ascii="Century Gothic" w:eastAsia="Georgia" w:hAnsi="Century Gothic" w:cs="Arial"/>
          <w:bCs/>
          <w:lang w:val="es-ES"/>
        </w:rPr>
        <w:footnoteReference w:id="7"/>
      </w:r>
      <w:r w:rsidRPr="002D6F59">
        <w:rPr>
          <w:rFonts w:ascii="Century Gothic" w:eastAsia="Georgia" w:hAnsi="Century Gothic" w:cs="Arial"/>
          <w:bCs/>
          <w:lang w:val="es-ES"/>
        </w:rPr>
        <w:t xml:space="preserve">. Así, el color rojo indica aquellos bienes jurídicos que </w:t>
      </w:r>
      <w:r w:rsidR="00902E91" w:rsidRPr="002D6F59">
        <w:rPr>
          <w:rFonts w:ascii="Century Gothic" w:eastAsia="Georgia" w:hAnsi="Century Gothic" w:cs="Arial"/>
          <w:bCs/>
          <w:lang w:val="es-ES"/>
        </w:rPr>
        <w:t>mayores penas</w:t>
      </w:r>
      <w:r w:rsidRPr="002D6F59">
        <w:rPr>
          <w:rFonts w:ascii="Century Gothic" w:eastAsia="Georgia" w:hAnsi="Century Gothic" w:cs="Arial"/>
          <w:bCs/>
          <w:lang w:val="es-ES"/>
        </w:rPr>
        <w:t xml:space="preserve"> tienen consagradas en el Código Penal. La primera gráfica corresponde a la intensidad de las penas de los delitos sexuales y posteriormente, se muestran las gráficas correspondientes a otros bienes jurídicos:</w:t>
      </w:r>
    </w:p>
    <w:p w14:paraId="2A971325" w14:textId="77777777" w:rsidR="00251E2E" w:rsidRPr="002D6F59" w:rsidRDefault="00251E2E" w:rsidP="00A4664D">
      <w:pPr>
        <w:jc w:val="both"/>
        <w:rPr>
          <w:rFonts w:ascii="Century Gothic" w:eastAsia="Georgia" w:hAnsi="Century Gothic" w:cs="Arial"/>
          <w:bCs/>
          <w:lang w:val="es-ES"/>
        </w:rPr>
      </w:pPr>
    </w:p>
    <w:p w14:paraId="126A0D7B" w14:textId="4538DF9B" w:rsidR="00280CF2" w:rsidRPr="00FC4C33" w:rsidRDefault="00BC121A" w:rsidP="00FC4C33">
      <w:pPr>
        <w:spacing w:line="276" w:lineRule="auto"/>
        <w:jc w:val="center"/>
        <w:rPr>
          <w:rFonts w:ascii="Century Gothic" w:eastAsia="Georgia" w:hAnsi="Century Gothic" w:cs="Arial"/>
          <w:b/>
          <w:bCs/>
        </w:rPr>
      </w:pPr>
      <w:r w:rsidRPr="002D6F59">
        <w:rPr>
          <w:rFonts w:ascii="Century Gothic" w:eastAsia="Georgia" w:hAnsi="Century Gothic" w:cs="Arial"/>
          <w:b/>
          <w:bCs/>
        </w:rPr>
        <w:t xml:space="preserve">Anexo </w:t>
      </w:r>
      <w:r w:rsidR="002442EA" w:rsidRPr="002D6F59">
        <w:rPr>
          <w:rFonts w:ascii="Century Gothic" w:eastAsia="Georgia" w:hAnsi="Century Gothic" w:cs="Arial"/>
          <w:b/>
          <w:bCs/>
        </w:rPr>
        <w:t>Número</w:t>
      </w:r>
      <w:r w:rsidRPr="002D6F59">
        <w:rPr>
          <w:rFonts w:ascii="Century Gothic" w:eastAsia="Georgia" w:hAnsi="Century Gothic" w:cs="Arial"/>
          <w:bCs/>
        </w:rPr>
        <w:t xml:space="preserve"> </w:t>
      </w:r>
      <w:r w:rsidRPr="002D6F59">
        <w:rPr>
          <w:rFonts w:ascii="Century Gothic" w:eastAsia="Georgia" w:hAnsi="Century Gothic" w:cs="Arial"/>
          <w:b/>
          <w:bCs/>
        </w:rPr>
        <w:t>4. Composición de cada uno de los títulos del libro II, Código Penal, según escala de gravedad de las penas de cada una de las modalidades delictivas que lo componen</w:t>
      </w:r>
      <w:r w:rsidRPr="002D6F59">
        <w:rPr>
          <w:rStyle w:val="Refdenotaalpie"/>
          <w:rFonts w:ascii="Century Gothic" w:eastAsia="Georgia" w:hAnsi="Century Gothic" w:cs="Arial"/>
          <w:b/>
          <w:bCs/>
        </w:rPr>
        <w:footnoteReference w:id="8"/>
      </w:r>
    </w:p>
    <w:p w14:paraId="083D2637" w14:textId="77777777" w:rsidR="00280CF2" w:rsidRDefault="00280CF2" w:rsidP="00B17AB2">
      <w:pPr>
        <w:spacing w:line="276" w:lineRule="auto"/>
        <w:jc w:val="center"/>
        <w:rPr>
          <w:rFonts w:ascii="Century Gothic" w:eastAsia="Georgia" w:hAnsi="Century Gothic" w:cs="Arial"/>
          <w:b/>
          <w:bCs/>
          <w:lang w:val="es-ES"/>
        </w:rPr>
      </w:pPr>
    </w:p>
    <w:p w14:paraId="1512980B" w14:textId="55E6B4B6" w:rsidR="00BC121A" w:rsidRPr="002D6F59" w:rsidRDefault="00BC121A" w:rsidP="00B17AB2">
      <w:pPr>
        <w:spacing w:line="276" w:lineRule="auto"/>
        <w:jc w:val="center"/>
        <w:rPr>
          <w:rFonts w:ascii="Century Gothic" w:eastAsia="Georgia" w:hAnsi="Century Gothic" w:cs="Arial"/>
          <w:b/>
          <w:bCs/>
          <w:lang w:val="es-ES"/>
        </w:rPr>
      </w:pPr>
      <w:r w:rsidRPr="002D6F59">
        <w:rPr>
          <w:rFonts w:ascii="Century Gothic" w:eastAsia="Georgia" w:hAnsi="Century Gothic" w:cs="Arial"/>
          <w:b/>
          <w:bCs/>
          <w:lang w:val="es-ES"/>
        </w:rPr>
        <w:t>Delitos contra la libertad, integ</w:t>
      </w:r>
      <w:r w:rsidR="00EF343E" w:rsidRPr="002D6F59">
        <w:rPr>
          <w:rFonts w:ascii="Century Gothic" w:eastAsia="Georgia" w:hAnsi="Century Gothic" w:cs="Arial"/>
          <w:b/>
          <w:bCs/>
          <w:lang w:val="es-ES"/>
        </w:rPr>
        <w:t>ridad y formación sexuales (IV)</w:t>
      </w:r>
    </w:p>
    <w:p w14:paraId="3C6ABA4D" w14:textId="77777777" w:rsidR="00067D87" w:rsidRPr="002D6F59" w:rsidRDefault="00067D87" w:rsidP="005627A0">
      <w:pPr>
        <w:jc w:val="center"/>
        <w:rPr>
          <w:rFonts w:ascii="Century Gothic" w:eastAsia="Georgia" w:hAnsi="Century Gothic" w:cs="Arial"/>
          <w:b/>
          <w:bCs/>
          <w:lang w:val="es-ES"/>
        </w:rPr>
      </w:pPr>
    </w:p>
    <w:p w14:paraId="3BE2FBA8" w14:textId="76185E7B" w:rsidR="00BC121A" w:rsidRPr="002D6F59" w:rsidRDefault="00BC121A" w:rsidP="00B17AB2">
      <w:pPr>
        <w:spacing w:line="276" w:lineRule="auto"/>
        <w:jc w:val="center"/>
        <w:rPr>
          <w:rFonts w:ascii="Century Gothic" w:eastAsia="Georgia" w:hAnsi="Century Gothic" w:cs="Arial"/>
          <w:bCs/>
          <w:lang w:val="es-ES"/>
        </w:rPr>
      </w:pPr>
      <w:r w:rsidRPr="002D6F59">
        <w:rPr>
          <w:rFonts w:ascii="Century Gothic" w:eastAsia="Georgia" w:hAnsi="Century Gothic" w:cs="Arial"/>
          <w:bCs/>
          <w:noProof/>
          <w:lang w:val="es-CO" w:eastAsia="es-CO"/>
        </w:rPr>
        <w:lastRenderedPageBreak/>
        <w:drawing>
          <wp:inline distT="0" distB="0" distL="0" distR="0" wp14:anchorId="6E471DAE" wp14:editId="00C0B880">
            <wp:extent cx="5607533" cy="216999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729" cy="2221925"/>
                    </a:xfrm>
                    <a:prstGeom prst="rect">
                      <a:avLst/>
                    </a:prstGeom>
                    <a:noFill/>
                    <a:ln>
                      <a:noFill/>
                    </a:ln>
                  </pic:spPr>
                </pic:pic>
              </a:graphicData>
            </a:graphic>
          </wp:inline>
        </w:drawing>
      </w:r>
    </w:p>
    <w:p w14:paraId="1F6C2A0B" w14:textId="77777777" w:rsidR="005627A0" w:rsidRDefault="005627A0" w:rsidP="005627A0">
      <w:pPr>
        <w:jc w:val="center"/>
        <w:rPr>
          <w:rFonts w:ascii="Century Gothic" w:eastAsia="Georgia" w:hAnsi="Century Gothic" w:cs="Arial"/>
          <w:b/>
          <w:bCs/>
        </w:rPr>
      </w:pPr>
    </w:p>
    <w:p w14:paraId="7701D861" w14:textId="05802084" w:rsidR="00A4664D" w:rsidRPr="002D6F59" w:rsidRDefault="00BC121A" w:rsidP="00067D87">
      <w:pPr>
        <w:spacing w:line="276" w:lineRule="auto"/>
        <w:jc w:val="center"/>
        <w:rPr>
          <w:rFonts w:ascii="Century Gothic" w:eastAsia="Georgia" w:hAnsi="Century Gothic" w:cs="Arial"/>
          <w:b/>
          <w:bCs/>
        </w:rPr>
      </w:pPr>
      <w:r w:rsidRPr="002D6F59">
        <w:rPr>
          <w:rFonts w:ascii="Century Gothic" w:eastAsia="Georgia" w:hAnsi="Century Gothic" w:cs="Arial"/>
          <w:b/>
          <w:bCs/>
        </w:rPr>
        <w:t>Delitos contra la vida y la integridad personal (I)</w:t>
      </w:r>
    </w:p>
    <w:p w14:paraId="5489DE31" w14:textId="77777777" w:rsidR="00067D87" w:rsidRPr="002D6F59" w:rsidRDefault="00067D87" w:rsidP="005627A0">
      <w:pPr>
        <w:jc w:val="center"/>
        <w:rPr>
          <w:rFonts w:ascii="Century Gothic" w:eastAsia="Georgia" w:hAnsi="Century Gothic" w:cs="Arial"/>
          <w:b/>
          <w:bCs/>
        </w:rPr>
      </w:pPr>
    </w:p>
    <w:p w14:paraId="4DD0C44C" w14:textId="3B731A1F" w:rsidR="00902E91" w:rsidRPr="00902E91" w:rsidRDefault="00BC121A" w:rsidP="008E64C8">
      <w:pPr>
        <w:widowControl w:val="0"/>
        <w:autoSpaceDE w:val="0"/>
        <w:autoSpaceDN w:val="0"/>
        <w:adjustRightInd w:val="0"/>
        <w:spacing w:line="276" w:lineRule="auto"/>
        <w:jc w:val="center"/>
        <w:rPr>
          <w:rFonts w:ascii="Century Gothic" w:hAnsi="Century Gothic" w:cs="Arial"/>
          <w:color w:val="000000"/>
          <w:lang w:val="es-ES"/>
        </w:rPr>
      </w:pPr>
      <w:r w:rsidRPr="002D6F59">
        <w:rPr>
          <w:rFonts w:ascii="Century Gothic" w:hAnsi="Century Gothic" w:cs="Arial"/>
          <w:noProof/>
          <w:color w:val="000000"/>
          <w:lang w:val="es-CO" w:eastAsia="es-CO"/>
        </w:rPr>
        <w:drawing>
          <wp:inline distT="0" distB="0" distL="0" distR="0" wp14:anchorId="7A9C6B80" wp14:editId="45F0F2E0">
            <wp:extent cx="5532987" cy="262037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6235" cy="2678739"/>
                    </a:xfrm>
                    <a:prstGeom prst="rect">
                      <a:avLst/>
                    </a:prstGeom>
                    <a:noFill/>
                    <a:ln>
                      <a:noFill/>
                    </a:ln>
                  </pic:spPr>
                </pic:pic>
              </a:graphicData>
            </a:graphic>
          </wp:inline>
        </w:drawing>
      </w:r>
    </w:p>
    <w:p w14:paraId="6F416A03" w14:textId="49C23BAC" w:rsidR="00BC121A" w:rsidRPr="002D6F59" w:rsidRDefault="00BC121A" w:rsidP="00B17AB2">
      <w:pPr>
        <w:widowControl w:val="0"/>
        <w:autoSpaceDE w:val="0"/>
        <w:autoSpaceDN w:val="0"/>
        <w:adjustRightInd w:val="0"/>
        <w:spacing w:after="240" w:line="276" w:lineRule="auto"/>
        <w:jc w:val="center"/>
        <w:rPr>
          <w:rFonts w:ascii="Century Gothic" w:hAnsi="Century Gothic" w:cs="Arial"/>
          <w:color w:val="000000"/>
          <w:lang w:val="es-ES"/>
        </w:rPr>
      </w:pPr>
      <w:r w:rsidRPr="002D6F59">
        <w:rPr>
          <w:rFonts w:ascii="Century Gothic" w:hAnsi="Century Gothic" w:cs="Arial"/>
          <w:b/>
          <w:bCs/>
          <w:color w:val="000000"/>
          <w:lang w:val="es-ES"/>
        </w:rPr>
        <w:t>Delitos contra la libertad individual y otras garantías (III)</w:t>
      </w:r>
    </w:p>
    <w:p w14:paraId="00FAEDC9" w14:textId="1C1E076F" w:rsidR="00251E2E" w:rsidRPr="002F55DC" w:rsidRDefault="00BC121A" w:rsidP="002F55DC">
      <w:pPr>
        <w:widowControl w:val="0"/>
        <w:autoSpaceDE w:val="0"/>
        <w:autoSpaceDN w:val="0"/>
        <w:adjustRightInd w:val="0"/>
        <w:spacing w:line="276" w:lineRule="auto"/>
        <w:jc w:val="center"/>
        <w:rPr>
          <w:rFonts w:ascii="Century Gothic" w:hAnsi="Century Gothic" w:cs="Arial"/>
          <w:color w:val="000000"/>
          <w:lang w:val="es-ES"/>
        </w:rPr>
      </w:pPr>
      <w:r w:rsidRPr="002D6F59">
        <w:rPr>
          <w:rFonts w:ascii="Century Gothic" w:hAnsi="Century Gothic" w:cs="Arial"/>
          <w:noProof/>
          <w:color w:val="000000"/>
          <w:lang w:val="es-CO" w:eastAsia="es-CO"/>
        </w:rPr>
        <w:drawing>
          <wp:inline distT="0" distB="0" distL="0" distR="0" wp14:anchorId="515625E5" wp14:editId="4BADFF2A">
            <wp:extent cx="5733388" cy="2294626"/>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714" cy="2316369"/>
                    </a:xfrm>
                    <a:prstGeom prst="rect">
                      <a:avLst/>
                    </a:prstGeom>
                    <a:noFill/>
                    <a:ln>
                      <a:noFill/>
                    </a:ln>
                  </pic:spPr>
                </pic:pic>
              </a:graphicData>
            </a:graphic>
          </wp:inline>
        </w:drawing>
      </w:r>
    </w:p>
    <w:p w14:paraId="782BA880" w14:textId="2FC70441" w:rsidR="00BC121A" w:rsidRPr="002D6F59" w:rsidRDefault="00BC121A" w:rsidP="00B17AB2">
      <w:pPr>
        <w:spacing w:line="276" w:lineRule="auto"/>
        <w:jc w:val="center"/>
        <w:rPr>
          <w:rFonts w:ascii="Century Gothic" w:hAnsi="Century Gothic" w:cs="Arial"/>
          <w:b/>
          <w:bCs/>
          <w:lang w:val="es-ES"/>
        </w:rPr>
      </w:pPr>
      <w:r w:rsidRPr="002D6F59">
        <w:rPr>
          <w:rFonts w:ascii="Century Gothic" w:hAnsi="Century Gothic" w:cs="Arial"/>
          <w:b/>
          <w:bCs/>
          <w:lang w:val="es-ES"/>
        </w:rPr>
        <w:lastRenderedPageBreak/>
        <w:t>Delitos contra la seguridad pública (XII)</w:t>
      </w:r>
    </w:p>
    <w:p w14:paraId="3DEC28EA" w14:textId="77777777" w:rsidR="00BC121A" w:rsidRPr="002D6F59" w:rsidRDefault="00BC121A" w:rsidP="00A4664D">
      <w:pPr>
        <w:jc w:val="both"/>
        <w:rPr>
          <w:rFonts w:ascii="Century Gothic" w:hAnsi="Century Gothic" w:cs="Arial"/>
          <w:lang w:val="es-ES"/>
        </w:rPr>
      </w:pPr>
    </w:p>
    <w:p w14:paraId="18466A03" w14:textId="264702F7" w:rsidR="00BC121A" w:rsidRPr="002D6F59" w:rsidRDefault="00BC121A" w:rsidP="00B17AB2">
      <w:pPr>
        <w:spacing w:line="276" w:lineRule="auto"/>
        <w:jc w:val="center"/>
        <w:rPr>
          <w:rFonts w:ascii="Century Gothic" w:hAnsi="Century Gothic" w:cs="Arial"/>
          <w:lang w:val="es-ES"/>
        </w:rPr>
      </w:pPr>
      <w:r w:rsidRPr="002D6F59">
        <w:rPr>
          <w:rFonts w:ascii="Century Gothic" w:hAnsi="Century Gothic" w:cs="Arial"/>
          <w:noProof/>
          <w:lang w:val="es-CO" w:eastAsia="es-CO"/>
        </w:rPr>
        <w:drawing>
          <wp:inline distT="0" distB="0" distL="0" distR="0" wp14:anchorId="0B13E144" wp14:editId="73E13143">
            <wp:extent cx="5511800" cy="2095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2162" cy="2107043"/>
                    </a:xfrm>
                    <a:prstGeom prst="rect">
                      <a:avLst/>
                    </a:prstGeom>
                    <a:noFill/>
                    <a:ln>
                      <a:noFill/>
                    </a:ln>
                  </pic:spPr>
                </pic:pic>
              </a:graphicData>
            </a:graphic>
          </wp:inline>
        </w:drawing>
      </w:r>
    </w:p>
    <w:p w14:paraId="637F5957" w14:textId="77777777" w:rsidR="005627A0" w:rsidRDefault="005627A0" w:rsidP="00A4664D">
      <w:pPr>
        <w:spacing w:line="276" w:lineRule="auto"/>
        <w:jc w:val="center"/>
        <w:rPr>
          <w:rFonts w:ascii="Century Gothic" w:hAnsi="Century Gothic" w:cs="Arial"/>
          <w:b/>
          <w:bCs/>
          <w:lang w:val="es-ES"/>
        </w:rPr>
      </w:pPr>
    </w:p>
    <w:p w14:paraId="07546F1B" w14:textId="46D138DD" w:rsidR="00BC121A" w:rsidRPr="002D6F59" w:rsidRDefault="00BC121A" w:rsidP="00A4664D">
      <w:pPr>
        <w:spacing w:line="276" w:lineRule="auto"/>
        <w:jc w:val="center"/>
        <w:rPr>
          <w:rFonts w:ascii="Century Gothic" w:hAnsi="Century Gothic" w:cs="Arial"/>
          <w:b/>
          <w:bCs/>
          <w:lang w:val="es-ES"/>
        </w:rPr>
      </w:pPr>
      <w:r w:rsidRPr="002D6F59">
        <w:rPr>
          <w:rFonts w:ascii="Century Gothic" w:hAnsi="Century Gothic" w:cs="Arial"/>
          <w:b/>
          <w:bCs/>
          <w:lang w:val="es-ES"/>
        </w:rPr>
        <w:t>Delitos</w:t>
      </w:r>
      <w:r w:rsidR="00A4664D" w:rsidRPr="002D6F59">
        <w:rPr>
          <w:rFonts w:ascii="Century Gothic" w:hAnsi="Century Gothic" w:cs="Arial"/>
          <w:b/>
          <w:bCs/>
          <w:lang w:val="es-ES"/>
        </w:rPr>
        <w:t xml:space="preserve"> contra la salud pública (XIII)</w:t>
      </w:r>
    </w:p>
    <w:p w14:paraId="12CC06D9" w14:textId="77777777" w:rsidR="00A4664D" w:rsidRPr="002D6F59" w:rsidRDefault="00A4664D" w:rsidP="005627A0">
      <w:pPr>
        <w:jc w:val="center"/>
        <w:rPr>
          <w:rFonts w:ascii="Century Gothic" w:hAnsi="Century Gothic" w:cs="Arial"/>
          <w:b/>
          <w:bCs/>
          <w:lang w:val="es-ES"/>
        </w:rPr>
      </w:pPr>
    </w:p>
    <w:p w14:paraId="683AE192" w14:textId="56A6F68D" w:rsidR="004D798D" w:rsidRPr="005627A0" w:rsidRDefault="00BC121A" w:rsidP="005627A0">
      <w:pPr>
        <w:spacing w:line="276" w:lineRule="auto"/>
        <w:jc w:val="center"/>
        <w:rPr>
          <w:rFonts w:ascii="Century Gothic" w:hAnsi="Century Gothic" w:cs="Arial"/>
          <w:lang w:val="es-ES"/>
        </w:rPr>
      </w:pPr>
      <w:r w:rsidRPr="002D6F59">
        <w:rPr>
          <w:rFonts w:ascii="Century Gothic" w:hAnsi="Century Gothic" w:cs="Arial"/>
          <w:noProof/>
          <w:lang w:val="es-CO" w:eastAsia="es-CO"/>
        </w:rPr>
        <w:drawing>
          <wp:inline distT="0" distB="0" distL="0" distR="0" wp14:anchorId="1614FD79" wp14:editId="3619D184">
            <wp:extent cx="5471160" cy="2139351"/>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2699" cy="2167324"/>
                    </a:xfrm>
                    <a:prstGeom prst="rect">
                      <a:avLst/>
                    </a:prstGeom>
                    <a:noFill/>
                    <a:ln>
                      <a:noFill/>
                    </a:ln>
                  </pic:spPr>
                </pic:pic>
              </a:graphicData>
            </a:graphic>
          </wp:inline>
        </w:drawing>
      </w:r>
    </w:p>
    <w:p w14:paraId="1BC64A28" w14:textId="77777777" w:rsidR="00BC121A" w:rsidRPr="002D6F59" w:rsidRDefault="00BC121A" w:rsidP="00B17AB2">
      <w:pPr>
        <w:spacing w:line="276" w:lineRule="auto"/>
        <w:jc w:val="center"/>
        <w:rPr>
          <w:rFonts w:ascii="Century Gothic" w:hAnsi="Century Gothic" w:cs="Arial"/>
          <w:b/>
          <w:bCs/>
          <w:lang w:val="es-ES"/>
        </w:rPr>
      </w:pPr>
      <w:r w:rsidRPr="002D6F59">
        <w:rPr>
          <w:rFonts w:ascii="Century Gothic" w:hAnsi="Century Gothic" w:cs="Arial"/>
          <w:b/>
          <w:bCs/>
          <w:lang w:val="es-ES"/>
        </w:rPr>
        <w:t>Delitos contra la existencia y seguridad del Estado (XVII)</w:t>
      </w:r>
    </w:p>
    <w:p w14:paraId="2330C466" w14:textId="77777777" w:rsidR="00BC121A" w:rsidRPr="002D6F59" w:rsidRDefault="00BC121A" w:rsidP="005627A0">
      <w:pPr>
        <w:jc w:val="both"/>
        <w:rPr>
          <w:rFonts w:ascii="Century Gothic" w:hAnsi="Century Gothic" w:cs="Arial"/>
          <w:lang w:val="es-ES"/>
        </w:rPr>
      </w:pPr>
    </w:p>
    <w:p w14:paraId="20EB3315" w14:textId="29355B32" w:rsidR="00BC121A" w:rsidRPr="002D6F59" w:rsidRDefault="00BC121A" w:rsidP="00B17AB2">
      <w:pPr>
        <w:spacing w:line="276" w:lineRule="auto"/>
        <w:jc w:val="center"/>
        <w:rPr>
          <w:rFonts w:ascii="Century Gothic" w:hAnsi="Century Gothic" w:cs="Arial"/>
          <w:lang w:val="es-ES"/>
        </w:rPr>
      </w:pPr>
      <w:r w:rsidRPr="002D6F59">
        <w:rPr>
          <w:rFonts w:ascii="Century Gothic" w:hAnsi="Century Gothic" w:cs="Arial"/>
          <w:noProof/>
          <w:lang w:val="es-CO" w:eastAsia="es-CO"/>
        </w:rPr>
        <w:drawing>
          <wp:inline distT="0" distB="0" distL="0" distR="0" wp14:anchorId="234EE1AF" wp14:editId="3512D098">
            <wp:extent cx="5554980" cy="198407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852" cy="1993317"/>
                    </a:xfrm>
                    <a:prstGeom prst="rect">
                      <a:avLst/>
                    </a:prstGeom>
                    <a:noFill/>
                    <a:ln>
                      <a:noFill/>
                    </a:ln>
                  </pic:spPr>
                </pic:pic>
              </a:graphicData>
            </a:graphic>
          </wp:inline>
        </w:drawing>
      </w:r>
    </w:p>
    <w:p w14:paraId="03EA21BF" w14:textId="12A2A54C" w:rsidR="00251E2E" w:rsidRPr="002D6F59" w:rsidRDefault="00251E2E" w:rsidP="008E64C8">
      <w:pPr>
        <w:jc w:val="both"/>
        <w:rPr>
          <w:rFonts w:ascii="Century Gothic" w:hAnsi="Century Gothic" w:cs="Arial"/>
        </w:rPr>
      </w:pPr>
    </w:p>
    <w:p w14:paraId="08EA153B" w14:textId="57C95B61"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lastRenderedPageBreak/>
        <w:t>Del anterior estudio se deduce fácilmente que existen otros bienes jurídicos de igual o incluso menor entida</w:t>
      </w:r>
      <w:r w:rsidR="00B37DB0" w:rsidRPr="002D6F59">
        <w:rPr>
          <w:rFonts w:ascii="Century Gothic" w:hAnsi="Century Gothic" w:cs="Arial"/>
        </w:rPr>
        <w:t xml:space="preserve">d que la libertad, integridad y </w:t>
      </w:r>
      <w:r w:rsidRPr="002D6F59">
        <w:rPr>
          <w:rFonts w:ascii="Century Gothic" w:hAnsi="Century Gothic" w:cs="Arial"/>
        </w:rPr>
        <w:t xml:space="preserve">formación sexual, especialmente de los menores, que tienen penas superiores, tales como </w:t>
      </w:r>
      <w:r w:rsidRPr="002D6F59">
        <w:rPr>
          <w:rFonts w:ascii="Century Gothic" w:hAnsi="Century Gothic" w:cs="Arial"/>
          <w:bCs/>
        </w:rPr>
        <w:t xml:space="preserve">la vida y la integridad personal, </w:t>
      </w:r>
      <w:r w:rsidRPr="002D6F59">
        <w:rPr>
          <w:rFonts w:ascii="Century Gothic" w:hAnsi="Century Gothic" w:cs="Arial"/>
          <w:bCs/>
          <w:lang w:val="es-ES"/>
        </w:rPr>
        <w:t>la liberta</w:t>
      </w:r>
      <w:r w:rsidR="00B37DB0" w:rsidRPr="002D6F59">
        <w:rPr>
          <w:rFonts w:ascii="Century Gothic" w:hAnsi="Century Gothic" w:cs="Arial"/>
          <w:bCs/>
          <w:lang w:val="es-ES"/>
        </w:rPr>
        <w:t xml:space="preserve">d individual y otras garantías, </w:t>
      </w:r>
      <w:r w:rsidRPr="002D6F59">
        <w:rPr>
          <w:rFonts w:ascii="Century Gothic" w:hAnsi="Century Gothic" w:cs="Arial"/>
          <w:bCs/>
          <w:lang w:val="es-ES"/>
        </w:rPr>
        <w:t>la seguridad pública, la salud pública o la existencia y seguridad del Estado.</w:t>
      </w:r>
      <w:r w:rsidRPr="002D6F59">
        <w:rPr>
          <w:rFonts w:ascii="Century Gothic" w:hAnsi="Century Gothic" w:cs="Arial"/>
          <w:b/>
          <w:bCs/>
          <w:lang w:val="es-ES"/>
        </w:rPr>
        <w:t xml:space="preserve"> </w:t>
      </w:r>
      <w:r w:rsidRPr="002D6F59">
        <w:rPr>
          <w:rFonts w:ascii="Century Gothic" w:hAnsi="Century Gothic" w:cs="Arial"/>
        </w:rPr>
        <w:t>Es decir, los delitos sexuales contra menores tienen</w:t>
      </w:r>
      <w:r w:rsidR="004C34C7" w:rsidRPr="002D6F59">
        <w:rPr>
          <w:rFonts w:ascii="Century Gothic" w:hAnsi="Century Gothic" w:cs="Arial"/>
        </w:rPr>
        <w:t>, inexplicablemente un menor peso</w:t>
      </w:r>
      <w:r w:rsidRPr="002D6F59">
        <w:rPr>
          <w:rFonts w:ascii="Century Gothic" w:hAnsi="Century Gothic" w:cs="Arial"/>
        </w:rPr>
        <w:t xml:space="preserve">, que otros bienes jurídicos, </w:t>
      </w:r>
      <w:r w:rsidR="004C34C7" w:rsidRPr="002D6F59">
        <w:rPr>
          <w:rFonts w:ascii="Century Gothic" w:hAnsi="Century Gothic" w:cs="Arial"/>
        </w:rPr>
        <w:t>pese a que</w:t>
      </w:r>
      <w:r w:rsidRPr="002D6F59">
        <w:rPr>
          <w:rFonts w:ascii="Century Gothic" w:hAnsi="Century Gothic" w:cs="Arial"/>
        </w:rPr>
        <w:t xml:space="preserve"> los derechos de los menores prevalecen sobre los de los demás.</w:t>
      </w:r>
    </w:p>
    <w:p w14:paraId="173D2026" w14:textId="77777777" w:rsidR="00BC121A" w:rsidRPr="002D6F59" w:rsidRDefault="00BC121A" w:rsidP="005627A0">
      <w:pPr>
        <w:jc w:val="both"/>
        <w:rPr>
          <w:rFonts w:ascii="Century Gothic" w:hAnsi="Century Gothic" w:cs="Arial"/>
        </w:rPr>
      </w:pPr>
    </w:p>
    <w:p w14:paraId="1F070F9F" w14:textId="62C3875B"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 xml:space="preserve">La </w:t>
      </w:r>
      <w:r w:rsidR="004C34C7" w:rsidRPr="002D6F59">
        <w:rPr>
          <w:rFonts w:ascii="Century Gothic" w:hAnsi="Century Gothic" w:cs="Arial"/>
        </w:rPr>
        <w:t>conclusión a</w:t>
      </w:r>
      <w:r w:rsidRPr="002D6F59">
        <w:rPr>
          <w:rFonts w:ascii="Century Gothic" w:hAnsi="Century Gothic" w:cs="Arial"/>
        </w:rPr>
        <w:t xml:space="preserve"> la que se puede arribar en este aspecto</w:t>
      </w:r>
      <w:r w:rsidR="00B37DB0" w:rsidRPr="002D6F59">
        <w:rPr>
          <w:rFonts w:ascii="Century Gothic" w:hAnsi="Century Gothic" w:cs="Arial"/>
        </w:rPr>
        <w:t>,</w:t>
      </w:r>
      <w:r w:rsidRPr="002D6F59">
        <w:rPr>
          <w:rFonts w:ascii="Century Gothic" w:hAnsi="Century Gothic" w:cs="Arial"/>
        </w:rPr>
        <w:t xml:space="preserve"> es que las penas de los delitos sexuales que se cometen contra menores no son proporcionales a la gravedad del hecho, de ahí que resulte necesario no sólo un aumento de pena, sino la posibilidad de imponer excepcionalmente la cadena perpetua para así garantizar una retribución justa y la no reiteración de la conducta por parte del agresor.</w:t>
      </w:r>
    </w:p>
    <w:p w14:paraId="2BEAEF51" w14:textId="04ABFFC6" w:rsidR="00BC121A" w:rsidRPr="002D6F59" w:rsidRDefault="00BC121A" w:rsidP="00B17AB2">
      <w:pPr>
        <w:spacing w:line="276" w:lineRule="auto"/>
        <w:jc w:val="both"/>
        <w:rPr>
          <w:rFonts w:ascii="Century Gothic" w:hAnsi="Century Gothic" w:cs="Arial"/>
        </w:rPr>
      </w:pPr>
    </w:p>
    <w:p w14:paraId="6D4A67C8" w14:textId="768DE569" w:rsidR="00B37DB0" w:rsidRPr="002D6F59" w:rsidRDefault="00BC121A" w:rsidP="00B17AB2">
      <w:pPr>
        <w:pStyle w:val="Prrafodelista"/>
        <w:numPr>
          <w:ilvl w:val="0"/>
          <w:numId w:val="46"/>
        </w:numPr>
        <w:jc w:val="both"/>
        <w:rPr>
          <w:rFonts w:ascii="Century Gothic" w:hAnsi="Century Gothic" w:cs="Arial"/>
          <w:b/>
        </w:rPr>
      </w:pPr>
      <w:r w:rsidRPr="002D6F59">
        <w:rPr>
          <w:rFonts w:ascii="Century Gothic" w:hAnsi="Century Gothic" w:cs="Arial"/>
          <w:b/>
        </w:rPr>
        <w:t>EL PROYECTO DE ACTO LEGISLATIVO NO NIEGA EL CARÁCTER RESOCIALIZADOR DE LA PENA</w:t>
      </w:r>
      <w:r w:rsidR="00B37DB0" w:rsidRPr="002D6F59">
        <w:rPr>
          <w:rFonts w:ascii="Century Gothic" w:hAnsi="Century Gothic" w:cs="Arial"/>
          <w:b/>
        </w:rPr>
        <w:t>.</w:t>
      </w:r>
    </w:p>
    <w:p w14:paraId="62B6B189" w14:textId="57F2C81F" w:rsidR="00BC121A" w:rsidRDefault="00BC121A" w:rsidP="00067D87">
      <w:pPr>
        <w:spacing w:line="276" w:lineRule="auto"/>
        <w:jc w:val="both"/>
        <w:rPr>
          <w:rFonts w:ascii="Century Gothic" w:hAnsi="Century Gothic" w:cs="Arial"/>
        </w:rPr>
      </w:pPr>
      <w:r w:rsidRPr="002D6F59">
        <w:rPr>
          <w:rFonts w:ascii="Century Gothic" w:hAnsi="Century Gothic" w:cs="Arial"/>
        </w:rPr>
        <w:t>El artículo cuarto del Código Penal establece que:</w:t>
      </w:r>
    </w:p>
    <w:p w14:paraId="17F42E5F" w14:textId="77777777" w:rsidR="005627A0" w:rsidRPr="002D6F59" w:rsidRDefault="005627A0" w:rsidP="005627A0">
      <w:pPr>
        <w:jc w:val="both"/>
        <w:rPr>
          <w:rFonts w:ascii="Century Gothic" w:hAnsi="Century Gothic" w:cs="Arial"/>
        </w:rPr>
      </w:pPr>
    </w:p>
    <w:p w14:paraId="15C5B6DB" w14:textId="77777777" w:rsidR="00BC121A" w:rsidRPr="002D6F59" w:rsidRDefault="00BC121A" w:rsidP="00B17AB2">
      <w:pPr>
        <w:spacing w:line="276" w:lineRule="auto"/>
        <w:ind w:left="567" w:right="332"/>
        <w:jc w:val="both"/>
        <w:rPr>
          <w:rFonts w:ascii="Century Gothic" w:hAnsi="Century Gothic" w:cs="Arial"/>
          <w:i/>
          <w:sz w:val="20"/>
          <w:szCs w:val="20"/>
          <w:lang w:val="es-ES"/>
        </w:rPr>
      </w:pPr>
      <w:r w:rsidRPr="002D6F59">
        <w:rPr>
          <w:rFonts w:ascii="Century Gothic" w:hAnsi="Century Gothic" w:cs="Arial"/>
          <w:b/>
          <w:bCs/>
          <w:i/>
          <w:sz w:val="20"/>
          <w:szCs w:val="20"/>
          <w:lang w:val="es-ES"/>
        </w:rPr>
        <w:t>ARTICULO 4. FUNCIONES DE LA PENA.</w:t>
      </w:r>
      <w:r w:rsidRPr="002D6F59">
        <w:rPr>
          <w:rFonts w:ascii="Century Gothic" w:hAnsi="Century Gothic" w:cs="Arial"/>
          <w:i/>
          <w:sz w:val="20"/>
          <w:szCs w:val="20"/>
          <w:lang w:val="es-ES"/>
        </w:rPr>
        <w:t xml:space="preserve"> La pena cumplirá las funciones de prevención general, retribución justa, prevención especial, reinserción social y protección al condenado.</w:t>
      </w:r>
    </w:p>
    <w:p w14:paraId="5D049A1E" w14:textId="77777777" w:rsidR="00BC121A" w:rsidRPr="002D6F59" w:rsidRDefault="00BC121A" w:rsidP="00B17AB2">
      <w:pPr>
        <w:spacing w:line="276" w:lineRule="auto"/>
        <w:ind w:left="567" w:right="332"/>
        <w:jc w:val="both"/>
        <w:rPr>
          <w:rFonts w:ascii="Century Gothic" w:hAnsi="Century Gothic" w:cs="Arial"/>
          <w:sz w:val="20"/>
          <w:szCs w:val="20"/>
        </w:rPr>
      </w:pPr>
      <w:r w:rsidRPr="002D6F59">
        <w:rPr>
          <w:rFonts w:ascii="Century Gothic" w:hAnsi="Century Gothic" w:cs="Arial"/>
          <w:i/>
          <w:sz w:val="20"/>
          <w:szCs w:val="20"/>
          <w:lang w:val="es-ES"/>
        </w:rPr>
        <w:t>La prevención especial y la reinserción social operan en el momento de la ejecución de la pena de prisión</w:t>
      </w:r>
      <w:r w:rsidRPr="002D6F59">
        <w:rPr>
          <w:rFonts w:ascii="Century Gothic" w:hAnsi="Century Gothic" w:cs="Arial"/>
          <w:sz w:val="20"/>
          <w:szCs w:val="20"/>
          <w:lang w:val="es-ES"/>
        </w:rPr>
        <w:t>.</w:t>
      </w:r>
    </w:p>
    <w:p w14:paraId="14995156" w14:textId="77777777" w:rsidR="00BC121A" w:rsidRPr="002D6F59" w:rsidRDefault="00BC121A" w:rsidP="005627A0">
      <w:pPr>
        <w:jc w:val="both"/>
        <w:rPr>
          <w:rFonts w:ascii="Century Gothic" w:hAnsi="Century Gothic" w:cs="Arial"/>
        </w:rPr>
      </w:pPr>
    </w:p>
    <w:p w14:paraId="58D1FAF3" w14:textId="3F97F705"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La reinserción social mencionada en el artículo, hace referencia al carácter resocializado</w:t>
      </w:r>
      <w:r w:rsidR="004D798D" w:rsidRPr="002D6F59">
        <w:rPr>
          <w:rFonts w:ascii="Century Gothic" w:hAnsi="Century Gothic" w:cs="Arial"/>
        </w:rPr>
        <w:t>r</w:t>
      </w:r>
      <w:r w:rsidRPr="002D6F59">
        <w:rPr>
          <w:rFonts w:ascii="Century Gothic" w:hAnsi="Century Gothic" w:cs="Arial"/>
        </w:rPr>
        <w:t xml:space="preserve"> de la pena. Así, en las sentencias C-261 de 1996, C-806 de 2002 </w:t>
      </w:r>
      <w:r w:rsidR="00814CB0" w:rsidRPr="002D6F59">
        <w:rPr>
          <w:rFonts w:ascii="Century Gothic" w:hAnsi="Century Gothic" w:cs="Arial"/>
        </w:rPr>
        <w:t>y C</w:t>
      </w:r>
      <w:r w:rsidRPr="002D6F59">
        <w:rPr>
          <w:rFonts w:ascii="Century Gothic" w:hAnsi="Century Gothic" w:cs="Arial"/>
        </w:rPr>
        <w:t>-328 de 2016, la Corte Constitucional vinculó la resocialización con la dignidad humana y el libre desarrollo de la personalidad. De igual forma, en la sentencia C-430 de 1996</w:t>
      </w:r>
      <w:r w:rsidR="004D798D" w:rsidRPr="002D6F59">
        <w:rPr>
          <w:rFonts w:ascii="Century Gothic" w:hAnsi="Century Gothic" w:cs="Arial"/>
        </w:rPr>
        <w:t>, l</w:t>
      </w:r>
      <w:r w:rsidR="00814CB0" w:rsidRPr="002D6F59">
        <w:rPr>
          <w:rFonts w:ascii="Century Gothic" w:hAnsi="Century Gothic" w:cs="Arial"/>
        </w:rPr>
        <w:t>a</w:t>
      </w:r>
      <w:r w:rsidRPr="002D6F59">
        <w:rPr>
          <w:rFonts w:ascii="Century Gothic" w:hAnsi="Century Gothic" w:cs="Arial"/>
        </w:rPr>
        <w:t xml:space="preserve"> Corte Constitucional aclaró que uno de los objetivos del derecho penal es la resocialización, especialmente en la etapa de la ejecución de la pena. Siguiendo esta línea</w:t>
      </w:r>
      <w:r w:rsidR="004D798D" w:rsidRPr="002D6F59">
        <w:rPr>
          <w:rFonts w:ascii="Century Gothic" w:hAnsi="Century Gothic" w:cs="Arial"/>
        </w:rPr>
        <w:t>,</w:t>
      </w:r>
      <w:r w:rsidRPr="002D6F59">
        <w:rPr>
          <w:rFonts w:ascii="Century Gothic" w:hAnsi="Century Gothic" w:cs="Arial"/>
        </w:rPr>
        <w:t xml:space="preserve"> está la sentencia C-144 de 1997, en la cual se expresó que la finalidad de </w:t>
      </w:r>
      <w:r w:rsidR="00814CB0" w:rsidRPr="002D6F59">
        <w:rPr>
          <w:rFonts w:ascii="Century Gothic" w:hAnsi="Century Gothic" w:cs="Arial"/>
        </w:rPr>
        <w:t>las penas</w:t>
      </w:r>
      <w:r w:rsidRPr="002D6F59">
        <w:rPr>
          <w:rFonts w:ascii="Century Gothic" w:hAnsi="Century Gothic" w:cs="Arial"/>
        </w:rPr>
        <w:t xml:space="preserve"> estatales es la resocialización del condenado dentro del respeto por su autonomía y dignidad ya que, el objeto del derecho penal, propio de un Estado Social de Derecho no puede ser la exclusión del infractor si no su reinserción al pacto social. En sentencia C-565 de 1993, la Corte analizó la constitucionalidad de la </w:t>
      </w:r>
      <w:r w:rsidRPr="002D6F59">
        <w:rPr>
          <w:rFonts w:ascii="Century Gothic" w:hAnsi="Century Gothic" w:cs="Arial"/>
        </w:rPr>
        <w:lastRenderedPageBreak/>
        <w:t>pena m</w:t>
      </w:r>
      <w:r w:rsidR="004D798D" w:rsidRPr="002D6F59">
        <w:rPr>
          <w:rFonts w:ascii="Century Gothic" w:hAnsi="Century Gothic" w:cs="Arial"/>
        </w:rPr>
        <w:t>áxima del delito de secuestro, e</w:t>
      </w:r>
      <w:r w:rsidRPr="002D6F59">
        <w:rPr>
          <w:rFonts w:ascii="Century Gothic" w:hAnsi="Century Gothic" w:cs="Arial"/>
        </w:rPr>
        <w:t xml:space="preserve">n esa ocasión recalcó la necesidad de </w:t>
      </w:r>
      <w:r w:rsidR="004D798D" w:rsidRPr="002D6F59">
        <w:rPr>
          <w:rFonts w:ascii="Century Gothic" w:hAnsi="Century Gothic" w:cs="Arial"/>
        </w:rPr>
        <w:t>poner</w:t>
      </w:r>
      <w:r w:rsidRPr="002D6F59">
        <w:rPr>
          <w:rFonts w:ascii="Century Gothic" w:hAnsi="Century Gothic" w:cs="Arial"/>
        </w:rPr>
        <w:t xml:space="preserve"> límites a las penas de prisión basados en la resocialización: </w:t>
      </w:r>
    </w:p>
    <w:p w14:paraId="0A952AA6" w14:textId="77777777" w:rsidR="00BC121A" w:rsidRPr="002D6F59" w:rsidRDefault="00BC121A" w:rsidP="00B17AB2">
      <w:pPr>
        <w:spacing w:line="276" w:lineRule="auto"/>
        <w:jc w:val="both"/>
        <w:rPr>
          <w:rFonts w:ascii="Century Gothic" w:hAnsi="Century Gothic" w:cs="Arial"/>
        </w:rPr>
      </w:pPr>
    </w:p>
    <w:p w14:paraId="1791EB23" w14:textId="3ED6B2C7" w:rsidR="00BC121A" w:rsidRPr="002D6F59" w:rsidRDefault="00BC121A" w:rsidP="00B17AB2">
      <w:pPr>
        <w:spacing w:line="276" w:lineRule="auto"/>
        <w:ind w:left="426" w:right="332"/>
        <w:jc w:val="both"/>
        <w:rPr>
          <w:rFonts w:ascii="Century Gothic" w:hAnsi="Century Gothic" w:cs="Arial"/>
          <w:i/>
          <w:sz w:val="20"/>
          <w:szCs w:val="20"/>
        </w:rPr>
      </w:pPr>
      <w:r w:rsidRPr="002D6F59">
        <w:rPr>
          <w:rFonts w:ascii="Century Gothic" w:hAnsi="Century Gothic" w:cs="Arial"/>
          <w:i/>
          <w:sz w:val="20"/>
          <w:szCs w:val="20"/>
        </w:rPr>
        <w:t>“Por las</w:t>
      </w:r>
      <w:r w:rsidR="00814CB0" w:rsidRPr="002D6F59">
        <w:rPr>
          <w:rFonts w:ascii="Century Gothic" w:hAnsi="Century Gothic" w:cs="Arial"/>
          <w:i/>
          <w:sz w:val="20"/>
          <w:szCs w:val="20"/>
        </w:rPr>
        <w:t> expresadas</w:t>
      </w:r>
      <w:r w:rsidRPr="002D6F59">
        <w:rPr>
          <w:rFonts w:ascii="Century Gothic" w:hAnsi="Century Gothic" w:cs="Arial"/>
          <w:i/>
          <w:sz w:val="20"/>
          <w:szCs w:val="20"/>
        </w:rPr>
        <w:t xml:space="preserve"> razones, concluye la Corte que el legislador ha hecho un adecuado uso de la potestad de dar tratamientos diferentes a situaciones que por su naturaleza</w:t>
      </w:r>
      <w:r w:rsidR="00814CB0" w:rsidRPr="002D6F59">
        <w:rPr>
          <w:rFonts w:ascii="Century Gothic" w:hAnsi="Century Gothic" w:cs="Arial"/>
          <w:i/>
          <w:sz w:val="20"/>
          <w:szCs w:val="20"/>
        </w:rPr>
        <w:t> así</w:t>
      </w:r>
      <w:r w:rsidRPr="002D6F59">
        <w:rPr>
          <w:rFonts w:ascii="Century Gothic" w:hAnsi="Century Gothic" w:cs="Arial"/>
          <w:i/>
          <w:sz w:val="20"/>
          <w:szCs w:val="20"/>
        </w:rPr>
        <w:t xml:space="preserve"> lo imponen. Por lo demás, como ya quedó expuesto, lo que compromete la existencia de la posibilidad de resocialización no es la drástica incriminación de la conducta delictiva, sino más bien la existencia de sistemas que, como los subrogados penales y los sistemas de redención de la pena, garanticen al individuo que rectifica y en</w:t>
      </w:r>
      <w:r w:rsidR="005627A0">
        <w:rPr>
          <w:rFonts w:ascii="Century Gothic" w:hAnsi="Century Gothic" w:cs="Arial"/>
          <w:i/>
          <w:sz w:val="20"/>
          <w:szCs w:val="20"/>
        </w:rPr>
        <w:t xml:space="preserve"> </w:t>
      </w:r>
      <w:r w:rsidRPr="002D6F59">
        <w:rPr>
          <w:rFonts w:ascii="Century Gothic" w:hAnsi="Century Gothic" w:cs="Arial"/>
          <w:i/>
          <w:sz w:val="20"/>
          <w:szCs w:val="20"/>
        </w:rPr>
        <w:t>ruta su conducta, la efectiva reinserción en sociedad, aspecto éste que, por no constituir el contenido de las normas demandadas, no puede la Corporación entrar a analizar en esta oportunidad.”</w:t>
      </w:r>
    </w:p>
    <w:p w14:paraId="53F66678" w14:textId="77777777" w:rsidR="00BC121A" w:rsidRPr="002D6F59" w:rsidRDefault="00BC121A" w:rsidP="005627A0">
      <w:pPr>
        <w:ind w:left="426" w:right="332"/>
        <w:jc w:val="both"/>
        <w:rPr>
          <w:rFonts w:ascii="Century Gothic" w:hAnsi="Century Gothic" w:cs="Arial"/>
          <w:i/>
          <w:sz w:val="20"/>
          <w:szCs w:val="20"/>
        </w:rPr>
      </w:pPr>
    </w:p>
    <w:p w14:paraId="7AD7F24B" w14:textId="78D81DE7" w:rsidR="00BC121A" w:rsidRDefault="00BC121A" w:rsidP="00B17AB2">
      <w:pPr>
        <w:spacing w:line="276" w:lineRule="auto"/>
        <w:jc w:val="both"/>
        <w:rPr>
          <w:rFonts w:ascii="Century Gothic" w:hAnsi="Century Gothic" w:cs="Arial"/>
        </w:rPr>
      </w:pPr>
      <w:r w:rsidRPr="002D6F59">
        <w:rPr>
          <w:rFonts w:ascii="Century Gothic" w:hAnsi="Century Gothic" w:cs="Arial"/>
        </w:rPr>
        <w:t>Por su parte el artículo 5.6</w:t>
      </w:r>
      <w:r w:rsidR="004D798D" w:rsidRPr="002D6F59">
        <w:rPr>
          <w:rFonts w:ascii="Century Gothic" w:hAnsi="Century Gothic" w:cs="Arial"/>
        </w:rPr>
        <w:t xml:space="preserve"> de la Convención Americana de Derechos Humanos, </w:t>
      </w:r>
      <w:r w:rsidRPr="002D6F59">
        <w:rPr>
          <w:rFonts w:ascii="Century Gothic" w:hAnsi="Century Gothic" w:cs="Arial"/>
        </w:rPr>
        <w:t xml:space="preserve">formula como una finalidad de la privación de </w:t>
      </w:r>
      <w:r w:rsidR="005627A0">
        <w:rPr>
          <w:rFonts w:ascii="Century Gothic" w:hAnsi="Century Gothic" w:cs="Arial"/>
        </w:rPr>
        <w:t>la libertad la resocialización:</w:t>
      </w:r>
    </w:p>
    <w:p w14:paraId="16002A45" w14:textId="77777777" w:rsidR="005627A0" w:rsidRPr="002D6F59" w:rsidRDefault="005627A0" w:rsidP="005627A0">
      <w:pPr>
        <w:jc w:val="both"/>
        <w:rPr>
          <w:rFonts w:ascii="Century Gothic" w:hAnsi="Century Gothic" w:cs="Arial"/>
        </w:rPr>
      </w:pPr>
    </w:p>
    <w:p w14:paraId="49771325" w14:textId="77777777" w:rsidR="00BC121A" w:rsidRPr="002D6F59" w:rsidRDefault="00BC121A" w:rsidP="00B17AB2">
      <w:pPr>
        <w:spacing w:line="276" w:lineRule="auto"/>
        <w:ind w:left="567" w:right="190"/>
        <w:jc w:val="both"/>
        <w:rPr>
          <w:rFonts w:ascii="Century Gothic" w:hAnsi="Century Gothic" w:cs="Arial"/>
          <w:b/>
          <w:i/>
          <w:sz w:val="20"/>
          <w:szCs w:val="20"/>
        </w:rPr>
      </w:pPr>
      <w:r w:rsidRPr="002D6F59">
        <w:rPr>
          <w:rFonts w:ascii="Century Gothic" w:hAnsi="Century Gothic" w:cs="Arial"/>
          <w:b/>
        </w:rPr>
        <w:t> </w:t>
      </w:r>
      <w:r w:rsidRPr="002D6F59">
        <w:rPr>
          <w:rFonts w:ascii="Century Gothic" w:hAnsi="Century Gothic" w:cs="Arial"/>
          <w:b/>
          <w:i/>
          <w:sz w:val="20"/>
          <w:szCs w:val="20"/>
        </w:rPr>
        <w:t>Artículo 5.  Derecho a la Integridad Personal</w:t>
      </w:r>
    </w:p>
    <w:p w14:paraId="78263B7E"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1. Toda persona tiene derecho a que se respete su integridad física, psíquica y moral. </w:t>
      </w:r>
    </w:p>
    <w:p w14:paraId="6DC554CB"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2. Nadie debe ser sometido a torturas ni a penas o tratos crueles, inhumanos o degradantes.  Toda persona privada de libertad será tratada con el respeto debido a la dignidad inherente al ser humano. </w:t>
      </w:r>
    </w:p>
    <w:p w14:paraId="4652F20C"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3. La pena no puede trascender de la persona del delincuente. </w:t>
      </w:r>
    </w:p>
    <w:p w14:paraId="771C8B66"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4. Los procesados deben estar separados de los condenados, salvo en circunstancias excepcionales, y serán sometidos a un tratamiento adecuado a su condición de personas no condenadas. </w:t>
      </w:r>
    </w:p>
    <w:p w14:paraId="1D1CCE7A" w14:textId="77777777" w:rsidR="00BC121A" w:rsidRPr="002D6F59" w:rsidRDefault="00BC121A" w:rsidP="00B17AB2">
      <w:pPr>
        <w:spacing w:line="276" w:lineRule="auto"/>
        <w:ind w:left="567" w:right="190"/>
        <w:jc w:val="both"/>
        <w:rPr>
          <w:rFonts w:ascii="Century Gothic" w:hAnsi="Century Gothic" w:cs="Arial"/>
          <w:i/>
          <w:sz w:val="20"/>
          <w:szCs w:val="20"/>
        </w:rPr>
      </w:pPr>
      <w:r w:rsidRPr="002D6F59">
        <w:rPr>
          <w:rFonts w:ascii="Century Gothic" w:hAnsi="Century Gothic" w:cs="Arial"/>
          <w:i/>
          <w:sz w:val="20"/>
          <w:szCs w:val="20"/>
        </w:rPr>
        <w:t> 5. Cuando los menores puedan ser procesados, deben ser separados de los adultos y llevados ante tribunales especializados, con la mayor celeridad posible, para su tratamiento. </w:t>
      </w:r>
    </w:p>
    <w:p w14:paraId="7529F310" w14:textId="77777777" w:rsidR="00BC121A" w:rsidRPr="002D6F59" w:rsidRDefault="00BC121A" w:rsidP="00B17AB2">
      <w:pPr>
        <w:spacing w:line="276" w:lineRule="auto"/>
        <w:ind w:left="567" w:right="190"/>
        <w:jc w:val="both"/>
        <w:rPr>
          <w:rFonts w:ascii="Century Gothic" w:hAnsi="Century Gothic" w:cs="Arial"/>
          <w:sz w:val="20"/>
          <w:szCs w:val="20"/>
        </w:rPr>
      </w:pPr>
      <w:r w:rsidRPr="002D6F59">
        <w:rPr>
          <w:rFonts w:ascii="Century Gothic" w:hAnsi="Century Gothic" w:cs="Arial"/>
          <w:i/>
          <w:sz w:val="20"/>
          <w:szCs w:val="20"/>
        </w:rPr>
        <w:t> </w:t>
      </w:r>
      <w:r w:rsidRPr="002D6F59">
        <w:rPr>
          <w:rFonts w:ascii="Century Gothic" w:hAnsi="Century Gothic" w:cs="Arial"/>
          <w:b/>
          <w:i/>
          <w:sz w:val="20"/>
          <w:szCs w:val="20"/>
        </w:rPr>
        <w:t xml:space="preserve">6. Las penas privativas de la libertad tendrán como finalidad esencial la reforma y la readaptación social de los condenados. </w:t>
      </w:r>
      <w:r w:rsidRPr="002D6F59">
        <w:rPr>
          <w:rFonts w:ascii="Century Gothic" w:hAnsi="Century Gothic" w:cs="Arial"/>
          <w:i/>
          <w:sz w:val="20"/>
          <w:szCs w:val="20"/>
        </w:rPr>
        <w:t>(Negrilla fuera de texto).</w:t>
      </w:r>
    </w:p>
    <w:p w14:paraId="655E975C" w14:textId="77777777" w:rsidR="00BC121A" w:rsidRPr="002D6F59" w:rsidRDefault="00BC121A" w:rsidP="00B17AB2">
      <w:pPr>
        <w:spacing w:line="276" w:lineRule="auto"/>
        <w:ind w:right="190"/>
        <w:jc w:val="both"/>
        <w:rPr>
          <w:rFonts w:ascii="Century Gothic" w:hAnsi="Century Gothic" w:cs="Arial"/>
          <w:sz w:val="20"/>
          <w:szCs w:val="20"/>
        </w:rPr>
      </w:pPr>
    </w:p>
    <w:p w14:paraId="78E189A6" w14:textId="1204A06E"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Es claro entonces que en un sistema penal propio de un estado democrático de derecho la resocialización no puede ser negada absolutamente, so pena de que cualquier norma que así lo establezca sea cuestionada desde el punto de vista constitucional. Sin embargo, el proyecto de acto legislativo no el</w:t>
      </w:r>
      <w:r w:rsidR="004D798D" w:rsidRPr="002D6F59">
        <w:rPr>
          <w:rFonts w:ascii="Century Gothic" w:hAnsi="Century Gothic" w:cs="Arial"/>
        </w:rPr>
        <w:t>imina el carácter resocializador de la pena, p</w:t>
      </w:r>
      <w:r w:rsidRPr="002D6F59">
        <w:rPr>
          <w:rFonts w:ascii="Century Gothic" w:hAnsi="Century Gothic" w:cs="Arial"/>
        </w:rPr>
        <w:t xml:space="preserve">or dos evidentes razones: </w:t>
      </w:r>
    </w:p>
    <w:p w14:paraId="7F6A8E5A" w14:textId="77777777" w:rsidR="00BC121A" w:rsidRPr="002D6F59" w:rsidRDefault="00BC121A" w:rsidP="00B17AB2">
      <w:pPr>
        <w:spacing w:line="276" w:lineRule="auto"/>
        <w:jc w:val="both"/>
        <w:rPr>
          <w:rFonts w:ascii="Century Gothic" w:hAnsi="Century Gothic" w:cs="Arial"/>
        </w:rPr>
      </w:pPr>
    </w:p>
    <w:p w14:paraId="35E40603" w14:textId="49AEBAC2" w:rsidR="00BC121A" w:rsidRPr="002D6F59" w:rsidRDefault="00BC121A" w:rsidP="00B17AB2">
      <w:pPr>
        <w:pStyle w:val="Prrafodelista"/>
        <w:numPr>
          <w:ilvl w:val="0"/>
          <w:numId w:val="40"/>
        </w:numPr>
        <w:spacing w:after="0"/>
        <w:jc w:val="both"/>
        <w:rPr>
          <w:rFonts w:ascii="Century Gothic" w:hAnsi="Century Gothic" w:cs="Arial"/>
          <w:sz w:val="24"/>
          <w:szCs w:val="24"/>
        </w:rPr>
      </w:pPr>
      <w:r w:rsidRPr="002D6F59">
        <w:rPr>
          <w:rFonts w:ascii="Century Gothic" w:hAnsi="Century Gothic" w:cs="Arial"/>
          <w:sz w:val="24"/>
          <w:szCs w:val="24"/>
        </w:rPr>
        <w:t xml:space="preserve">En primer lugar, estamos frente a una pena perpetua revisable y reversible </w:t>
      </w:r>
      <w:r w:rsidR="004D798D" w:rsidRPr="002D6F59">
        <w:rPr>
          <w:rFonts w:ascii="Century Gothic" w:hAnsi="Century Gothic" w:cs="Arial"/>
          <w:sz w:val="24"/>
          <w:szCs w:val="24"/>
        </w:rPr>
        <w:t xml:space="preserve">ya </w:t>
      </w:r>
      <w:r w:rsidR="00814CB0" w:rsidRPr="002D6F59">
        <w:rPr>
          <w:rFonts w:ascii="Century Gothic" w:hAnsi="Century Gothic" w:cs="Arial"/>
          <w:sz w:val="24"/>
          <w:szCs w:val="24"/>
        </w:rPr>
        <w:t>que la</w:t>
      </w:r>
      <w:r w:rsidRPr="002D6F59">
        <w:rPr>
          <w:rFonts w:ascii="Century Gothic" w:hAnsi="Century Gothic" w:cs="Arial"/>
          <w:sz w:val="24"/>
          <w:szCs w:val="24"/>
        </w:rPr>
        <w:t xml:space="preserve"> prisión perpetua puede ser revocada si se cumplen los preceptos que la ley establezca para ello, en particular la efectiva resocialización del condenado. Lo que sí establece este acto legislativo </w:t>
      </w:r>
      <w:r w:rsidRPr="002D6F59">
        <w:rPr>
          <w:rFonts w:ascii="Century Gothic" w:hAnsi="Century Gothic" w:cs="Arial"/>
          <w:sz w:val="24"/>
          <w:szCs w:val="24"/>
        </w:rPr>
        <w:lastRenderedPageBreak/>
        <w:t xml:space="preserve">es que tal revisión </w:t>
      </w:r>
      <w:r w:rsidR="004D798D" w:rsidRPr="002D6F59">
        <w:rPr>
          <w:rFonts w:ascii="Century Gothic" w:hAnsi="Century Gothic" w:cs="Arial"/>
          <w:sz w:val="24"/>
          <w:szCs w:val="24"/>
        </w:rPr>
        <w:t>no se podrá realizar antes de 25 años, c</w:t>
      </w:r>
      <w:r w:rsidRPr="002D6F59">
        <w:rPr>
          <w:rFonts w:ascii="Century Gothic" w:hAnsi="Century Gothic" w:cs="Arial"/>
          <w:sz w:val="24"/>
          <w:szCs w:val="24"/>
        </w:rPr>
        <w:t>ontados a partir de la imposición de la pena.</w:t>
      </w:r>
    </w:p>
    <w:p w14:paraId="07C7698D" w14:textId="77777777" w:rsidR="00BC121A" w:rsidRPr="002D6F59" w:rsidRDefault="00BC121A" w:rsidP="00D67DB0">
      <w:pPr>
        <w:pStyle w:val="Prrafodelista"/>
        <w:spacing w:line="240" w:lineRule="auto"/>
        <w:jc w:val="both"/>
        <w:rPr>
          <w:rFonts w:ascii="Century Gothic" w:hAnsi="Century Gothic" w:cs="Arial"/>
          <w:sz w:val="24"/>
          <w:szCs w:val="24"/>
        </w:rPr>
      </w:pPr>
    </w:p>
    <w:p w14:paraId="0828EC24" w14:textId="65D20722" w:rsidR="00BC121A" w:rsidRPr="002D6F59" w:rsidRDefault="00BC121A" w:rsidP="00B17AB2">
      <w:pPr>
        <w:pStyle w:val="Prrafodelista"/>
        <w:numPr>
          <w:ilvl w:val="0"/>
          <w:numId w:val="40"/>
        </w:numPr>
        <w:spacing w:after="0"/>
        <w:jc w:val="both"/>
        <w:rPr>
          <w:rFonts w:ascii="Century Gothic" w:hAnsi="Century Gothic" w:cs="Arial"/>
          <w:sz w:val="24"/>
          <w:szCs w:val="24"/>
        </w:rPr>
      </w:pPr>
      <w:r w:rsidRPr="002D6F59">
        <w:rPr>
          <w:rFonts w:ascii="Century Gothic" w:hAnsi="Century Gothic" w:cs="Arial"/>
          <w:sz w:val="24"/>
          <w:szCs w:val="24"/>
        </w:rPr>
        <w:t>En segundo lugar, las personas condenadas a c</w:t>
      </w:r>
      <w:r w:rsidR="004D798D" w:rsidRPr="002D6F59">
        <w:rPr>
          <w:rFonts w:ascii="Century Gothic" w:hAnsi="Century Gothic" w:cs="Arial"/>
          <w:sz w:val="24"/>
          <w:szCs w:val="24"/>
        </w:rPr>
        <w:t>adena perpetua tendrán acceso, e</w:t>
      </w:r>
      <w:r w:rsidRPr="002D6F59">
        <w:rPr>
          <w:rFonts w:ascii="Century Gothic" w:hAnsi="Century Gothic" w:cs="Arial"/>
          <w:sz w:val="24"/>
          <w:szCs w:val="24"/>
        </w:rPr>
        <w:t>n condiciones de igualdad, a todos los programas de resocialización establecidos, tales como la po</w:t>
      </w:r>
      <w:r w:rsidR="004D798D" w:rsidRPr="002D6F59">
        <w:rPr>
          <w:rFonts w:ascii="Century Gothic" w:hAnsi="Century Gothic" w:cs="Arial"/>
          <w:sz w:val="24"/>
          <w:szCs w:val="24"/>
        </w:rPr>
        <w:t xml:space="preserve">sibilidad de realizar estudios o actividades productivas, </w:t>
      </w:r>
      <w:r w:rsidRPr="002D6F59">
        <w:rPr>
          <w:rFonts w:ascii="Century Gothic" w:hAnsi="Century Gothic" w:cs="Arial"/>
          <w:sz w:val="24"/>
          <w:szCs w:val="24"/>
        </w:rPr>
        <w:t>que les permite emprender un proceso efectivo de resocialización.</w:t>
      </w:r>
    </w:p>
    <w:p w14:paraId="24F7D11C" w14:textId="77777777" w:rsidR="00BC121A" w:rsidRPr="002D6F59" w:rsidRDefault="00BC121A" w:rsidP="00067D87">
      <w:pPr>
        <w:jc w:val="both"/>
        <w:rPr>
          <w:rFonts w:ascii="Century Gothic" w:hAnsi="Century Gothic" w:cs="Arial"/>
        </w:rPr>
      </w:pPr>
    </w:p>
    <w:p w14:paraId="521DE335" w14:textId="77777777" w:rsidR="00BC121A" w:rsidRPr="002D6F59" w:rsidRDefault="00BC121A" w:rsidP="00B17AB2">
      <w:pPr>
        <w:spacing w:line="276" w:lineRule="auto"/>
        <w:jc w:val="both"/>
        <w:rPr>
          <w:rFonts w:ascii="Century Gothic" w:hAnsi="Century Gothic" w:cs="Arial"/>
        </w:rPr>
      </w:pPr>
      <w:r w:rsidRPr="002D6F59">
        <w:rPr>
          <w:rFonts w:ascii="Century Gothic" w:hAnsi="Century Gothic" w:cs="Arial"/>
        </w:rPr>
        <w:t>Así las cosas, es equivocado pensar que la cadena perpetua, en los términos establecidos en el proyecto de ley, descarta las posibilidades de resocialización del condenado y afecta desproporcionadamente su dignidad.</w:t>
      </w:r>
    </w:p>
    <w:p w14:paraId="43C82155" w14:textId="28C13A49" w:rsidR="00743981" w:rsidRPr="002D6F59" w:rsidRDefault="00743981" w:rsidP="007E0087">
      <w:pPr>
        <w:jc w:val="both"/>
        <w:rPr>
          <w:rFonts w:ascii="Century Gothic" w:hAnsi="Century Gothic" w:cs="Arial"/>
        </w:rPr>
      </w:pPr>
    </w:p>
    <w:p w14:paraId="18416C87" w14:textId="18A6637B" w:rsidR="00BC121A" w:rsidRPr="004B4D6E" w:rsidRDefault="00BC121A" w:rsidP="00B17AB2">
      <w:pPr>
        <w:pStyle w:val="Prrafodelista"/>
        <w:numPr>
          <w:ilvl w:val="0"/>
          <w:numId w:val="46"/>
        </w:numPr>
        <w:jc w:val="both"/>
        <w:rPr>
          <w:rFonts w:ascii="Century Gothic" w:hAnsi="Century Gothic" w:cs="Arial"/>
          <w:b/>
          <w:sz w:val="24"/>
          <w:szCs w:val="24"/>
        </w:rPr>
      </w:pPr>
      <w:r w:rsidRPr="004B4D6E">
        <w:rPr>
          <w:rFonts w:ascii="Century Gothic" w:hAnsi="Century Gothic" w:cs="Arial"/>
          <w:b/>
          <w:sz w:val="24"/>
          <w:szCs w:val="24"/>
        </w:rPr>
        <w:t xml:space="preserve">LA </w:t>
      </w:r>
      <w:r w:rsidR="00280CF2" w:rsidRPr="004B4D6E">
        <w:rPr>
          <w:rFonts w:ascii="Century Gothic" w:hAnsi="Century Gothic" w:cs="Arial"/>
          <w:b/>
          <w:sz w:val="24"/>
          <w:szCs w:val="24"/>
        </w:rPr>
        <w:t xml:space="preserve">PRISIÓN </w:t>
      </w:r>
      <w:r w:rsidR="00280CF2" w:rsidRPr="004B4D6E">
        <w:rPr>
          <w:rFonts w:ascii="Century Gothic" w:hAnsi="Century Gothic" w:cs="Arial"/>
          <w:b/>
          <w:sz w:val="24"/>
          <w:szCs w:val="24"/>
          <w:lang w:val="es-ES"/>
        </w:rPr>
        <w:t>PERPETUA</w:t>
      </w:r>
      <w:r w:rsidR="00280CF2" w:rsidRPr="004B4D6E">
        <w:rPr>
          <w:rFonts w:ascii="Century Gothic" w:hAnsi="Century Gothic" w:cs="Arial"/>
          <w:b/>
          <w:sz w:val="24"/>
          <w:szCs w:val="24"/>
        </w:rPr>
        <w:t xml:space="preserve"> </w:t>
      </w:r>
      <w:r w:rsidRPr="004B4D6E">
        <w:rPr>
          <w:rFonts w:ascii="Century Gothic" w:hAnsi="Century Gothic" w:cs="Arial"/>
          <w:b/>
          <w:sz w:val="24"/>
          <w:szCs w:val="24"/>
        </w:rPr>
        <w:t>NO RESULTA UNA MEDIDA DESPROPORCIONALMENTE COSTOSA</w:t>
      </w:r>
    </w:p>
    <w:p w14:paraId="20ED3250" w14:textId="43DA23A3" w:rsidR="00BC121A" w:rsidRPr="002D6F59" w:rsidRDefault="00BC121A" w:rsidP="00B17AB2">
      <w:pPr>
        <w:spacing w:line="276" w:lineRule="auto"/>
        <w:jc w:val="both"/>
        <w:rPr>
          <w:rFonts w:ascii="Century Gothic" w:hAnsi="Century Gothic" w:cs="Arial"/>
          <w:lang w:val="es-ES"/>
        </w:rPr>
      </w:pPr>
      <w:r w:rsidRPr="002D6F59">
        <w:rPr>
          <w:rFonts w:ascii="Century Gothic" w:hAnsi="Century Gothic" w:cs="Arial"/>
          <w:lang w:val="es-ES"/>
        </w:rPr>
        <w:t>L</w:t>
      </w:r>
      <w:r w:rsidR="00743981" w:rsidRPr="002D6F59">
        <w:rPr>
          <w:rFonts w:ascii="Century Gothic" w:hAnsi="Century Gothic" w:cs="Arial"/>
          <w:lang w:val="es-ES"/>
        </w:rPr>
        <w:t xml:space="preserve">a </w:t>
      </w:r>
      <w:r w:rsidR="009152B7">
        <w:rPr>
          <w:rFonts w:ascii="Century Gothic" w:hAnsi="Century Gothic" w:cs="Arial"/>
        </w:rPr>
        <w:t>prisión</w:t>
      </w:r>
      <w:r w:rsidR="00743981" w:rsidRPr="002D6F59">
        <w:rPr>
          <w:rFonts w:ascii="Century Gothic" w:hAnsi="Century Gothic" w:cs="Arial"/>
          <w:lang w:val="es-ES"/>
        </w:rPr>
        <w:t xml:space="preserve"> perpetua, e</w:t>
      </w:r>
      <w:r w:rsidRPr="002D6F59">
        <w:rPr>
          <w:rFonts w:ascii="Century Gothic" w:hAnsi="Century Gothic" w:cs="Arial"/>
          <w:lang w:val="es-ES"/>
        </w:rPr>
        <w:t xml:space="preserve">n los términos establecidos en este proyecto de acto legislativo, no resulta una </w:t>
      </w:r>
      <w:r w:rsidRPr="00CE7B4B">
        <w:rPr>
          <w:rFonts w:ascii="Century Gothic" w:hAnsi="Century Gothic" w:cs="Arial"/>
          <w:lang w:val="es-ES"/>
        </w:rPr>
        <w:t>medida costosa desde el punto de vista financiero, si se tienen cuenta que, en primer lugar, se tra</w:t>
      </w:r>
      <w:r w:rsidR="001D1CAB" w:rsidRPr="00CE7B4B">
        <w:rPr>
          <w:rFonts w:ascii="Century Gothic" w:hAnsi="Century Gothic" w:cs="Arial"/>
          <w:lang w:val="es-ES"/>
        </w:rPr>
        <w:t>tara de eventos excepcionales, e</w:t>
      </w:r>
      <w:r w:rsidRPr="00CE7B4B">
        <w:rPr>
          <w:rFonts w:ascii="Century Gothic" w:hAnsi="Century Gothic" w:cs="Arial"/>
          <w:lang w:val="es-ES"/>
        </w:rPr>
        <w:t>n los cuales se podría aplicar dicha sanción. En segundo lugar, debe tenerse en cuenta que las noticias criminales reportadas en el periodo 2014 a 201</w:t>
      </w:r>
      <w:r w:rsidR="009D0829" w:rsidRPr="00CE7B4B">
        <w:rPr>
          <w:rFonts w:ascii="Century Gothic" w:hAnsi="Century Gothic" w:cs="Arial"/>
        </w:rPr>
        <w:t>9</w:t>
      </w:r>
      <w:r w:rsidRPr="00CE7B4B">
        <w:rPr>
          <w:rFonts w:ascii="Century Gothic" w:hAnsi="Century Gothic" w:cs="Arial"/>
          <w:lang w:val="es-ES"/>
        </w:rPr>
        <w:t xml:space="preserve"> de los delitos</w:t>
      </w:r>
      <w:r w:rsidR="00CE7B4B">
        <w:rPr>
          <w:rFonts w:ascii="Century Gothic" w:hAnsi="Century Gothic" w:cs="Arial"/>
          <w:lang w:val="es-ES"/>
        </w:rPr>
        <w:t xml:space="preserve"> sexuales</w:t>
      </w:r>
      <w:r w:rsidRPr="00CE7B4B">
        <w:rPr>
          <w:rFonts w:ascii="Century Gothic" w:hAnsi="Century Gothic" w:cs="Arial"/>
          <w:lang w:val="es-ES"/>
        </w:rPr>
        <w:t xml:space="preserve"> </w:t>
      </w:r>
      <w:r w:rsidR="00777891" w:rsidRPr="00CE7B4B">
        <w:rPr>
          <w:rFonts w:ascii="Century Gothic" w:hAnsi="Century Gothic" w:cs="Arial"/>
          <w:lang w:val="es-ES"/>
        </w:rPr>
        <w:t xml:space="preserve">(150.120), </w:t>
      </w:r>
      <w:r w:rsidRPr="00CE7B4B">
        <w:rPr>
          <w:rFonts w:ascii="Century Gothic" w:hAnsi="Century Gothic" w:cs="Arial"/>
          <w:lang w:val="es-ES"/>
        </w:rPr>
        <w:t xml:space="preserve">corresponden solamente al </w:t>
      </w:r>
      <w:r w:rsidRPr="00CE7B4B">
        <w:rPr>
          <w:rFonts w:ascii="Century Gothic" w:hAnsi="Century Gothic" w:cs="Arial"/>
          <w:b/>
          <w:lang w:val="es-ES"/>
        </w:rPr>
        <w:t>1,</w:t>
      </w:r>
      <w:r w:rsidR="002F6DB6" w:rsidRPr="00CE7B4B">
        <w:rPr>
          <w:rFonts w:ascii="Century Gothic" w:hAnsi="Century Gothic" w:cs="Arial"/>
          <w:b/>
          <w:lang w:val="es-ES"/>
        </w:rPr>
        <w:t>9</w:t>
      </w:r>
      <w:r w:rsidRPr="00CE7B4B">
        <w:rPr>
          <w:rFonts w:ascii="Century Gothic" w:hAnsi="Century Gothic" w:cs="Arial"/>
          <w:lang w:val="es-ES"/>
        </w:rPr>
        <w:t>% del número de noticias criminales a nivel nacional</w:t>
      </w:r>
      <w:r w:rsidR="00777891" w:rsidRPr="00CE7B4B">
        <w:rPr>
          <w:rFonts w:ascii="Century Gothic" w:hAnsi="Century Gothic" w:cs="Arial"/>
          <w:lang w:val="es-ES"/>
        </w:rPr>
        <w:t xml:space="preserve"> (7.609.961)</w:t>
      </w:r>
      <w:r w:rsidRPr="00CE7B4B">
        <w:rPr>
          <w:rFonts w:ascii="Century Gothic" w:hAnsi="Century Gothic" w:cs="Arial"/>
          <w:lang w:val="es-ES"/>
        </w:rPr>
        <w:t>, es decir, respecto de la totalidad de los delitos denunciados</w:t>
      </w:r>
      <w:r w:rsidR="00777891" w:rsidRPr="00CE7B4B">
        <w:rPr>
          <w:rFonts w:ascii="Century Gothic" w:hAnsi="Century Gothic" w:cs="Arial"/>
          <w:lang w:val="es-ES"/>
        </w:rPr>
        <w:t xml:space="preserve">, </w:t>
      </w:r>
      <w:r w:rsidRPr="00CE7B4B">
        <w:rPr>
          <w:rFonts w:ascii="Century Gothic" w:hAnsi="Century Gothic" w:cs="Arial"/>
          <w:lang w:val="es-ES"/>
        </w:rPr>
        <w:t>los delitos sexuales contra niños niñas y adolescentes son</w:t>
      </w:r>
      <w:r w:rsidR="001D1CAB" w:rsidRPr="00CE7B4B">
        <w:rPr>
          <w:rFonts w:ascii="Century Gothic" w:hAnsi="Century Gothic" w:cs="Arial"/>
          <w:lang w:val="es-ES"/>
        </w:rPr>
        <w:t xml:space="preserve"> ligeramente superiores al 1%, </w:t>
      </w:r>
      <w:r w:rsidRPr="00CE7B4B">
        <w:rPr>
          <w:rFonts w:ascii="Century Gothic" w:hAnsi="Century Gothic" w:cs="Arial"/>
          <w:lang w:val="es-ES"/>
        </w:rPr>
        <w:t xml:space="preserve">haciendo </w:t>
      </w:r>
      <w:r w:rsidR="001D1CAB" w:rsidRPr="00CE7B4B">
        <w:rPr>
          <w:rFonts w:ascii="Century Gothic" w:hAnsi="Century Gothic" w:cs="Arial"/>
          <w:lang w:val="es-ES"/>
        </w:rPr>
        <w:t xml:space="preserve">que </w:t>
      </w:r>
      <w:r w:rsidRPr="00CE7B4B">
        <w:rPr>
          <w:rFonts w:ascii="Century Gothic" w:hAnsi="Century Gothic" w:cs="Arial"/>
          <w:lang w:val="es-ES"/>
        </w:rPr>
        <w:t>la posibilidad de</w:t>
      </w:r>
      <w:r w:rsidR="001D1CAB" w:rsidRPr="00CE7B4B">
        <w:rPr>
          <w:rFonts w:ascii="Century Gothic" w:hAnsi="Century Gothic" w:cs="Arial"/>
          <w:lang w:val="es-ES"/>
        </w:rPr>
        <w:t xml:space="preserve"> </w:t>
      </w:r>
      <w:r w:rsidRPr="00CE7B4B">
        <w:rPr>
          <w:rFonts w:ascii="Century Gothic" w:hAnsi="Century Gothic" w:cs="Arial"/>
          <w:lang w:val="es-ES"/>
        </w:rPr>
        <w:t>que se aplique la prisión perpetua sea aún más reducida, aunado a su carácter excepcional.</w:t>
      </w:r>
    </w:p>
    <w:p w14:paraId="46AFF48A" w14:textId="5E2FC4CD" w:rsidR="00BC121A" w:rsidRPr="002D6F59" w:rsidRDefault="00BC121A" w:rsidP="00CE7B4B">
      <w:pPr>
        <w:jc w:val="both"/>
        <w:rPr>
          <w:rFonts w:ascii="Century Gothic" w:hAnsi="Century Gothic" w:cs="Arial"/>
          <w:lang w:val="es-ES"/>
        </w:rPr>
      </w:pPr>
    </w:p>
    <w:p w14:paraId="215CEB8E" w14:textId="72844948" w:rsidR="0047675A" w:rsidRDefault="00BC121A" w:rsidP="0047675A">
      <w:pPr>
        <w:shd w:val="clear" w:color="auto" w:fill="FFFFFF" w:themeFill="background1"/>
        <w:spacing w:line="276" w:lineRule="auto"/>
        <w:jc w:val="both"/>
        <w:rPr>
          <w:rFonts w:ascii="Century Gothic" w:hAnsi="Century Gothic" w:cs="Arial"/>
        </w:rPr>
      </w:pPr>
      <w:r w:rsidRPr="002D6F59">
        <w:rPr>
          <w:rFonts w:ascii="Century Gothic" w:hAnsi="Century Gothic" w:cs="Arial"/>
        </w:rPr>
        <w:t>Finalmente, teniendo en cuenta el interés superior del menor, debe decirse que la protección de los niños niñas y adolescentes no puede estar limitada por aspectos presupuestales, los cuales, como se observan no representa un impacto desproporcionado al sistema penitenciario colombiano.</w:t>
      </w:r>
    </w:p>
    <w:p w14:paraId="57FC3F79" w14:textId="77777777" w:rsidR="001652DE" w:rsidRDefault="001652DE" w:rsidP="0047675A">
      <w:pPr>
        <w:shd w:val="clear" w:color="auto" w:fill="FFFFFF" w:themeFill="background1"/>
        <w:spacing w:line="276" w:lineRule="auto"/>
        <w:jc w:val="both"/>
        <w:rPr>
          <w:rFonts w:ascii="Century Gothic" w:hAnsi="Century Gothic" w:cs="Arial"/>
        </w:rPr>
      </w:pPr>
    </w:p>
    <w:p w14:paraId="30CD0D95" w14:textId="77777777" w:rsidR="004B4D6E" w:rsidRPr="002D6F59" w:rsidRDefault="004B4D6E" w:rsidP="004B4D6E">
      <w:pPr>
        <w:pStyle w:val="Prrafodelista"/>
        <w:numPr>
          <w:ilvl w:val="0"/>
          <w:numId w:val="46"/>
        </w:numPr>
        <w:jc w:val="both"/>
        <w:rPr>
          <w:rFonts w:ascii="Century Gothic" w:hAnsi="Century Gothic" w:cs="Arial"/>
          <w:b/>
          <w:bCs/>
          <w:smallCaps/>
          <w:sz w:val="24"/>
          <w:szCs w:val="24"/>
        </w:rPr>
      </w:pPr>
      <w:r w:rsidRPr="002D6F59">
        <w:rPr>
          <w:rFonts w:ascii="Century Gothic" w:hAnsi="Century Gothic" w:cs="Arial"/>
          <w:b/>
          <w:bCs/>
          <w:smallCaps/>
          <w:sz w:val="24"/>
          <w:szCs w:val="24"/>
        </w:rPr>
        <w:t>LOS DELITOS SEXUALES CONTRA MENORES TIENEN UN ALTO NIVEL DE REINCIDENCIA EN COLOMBIA.</w:t>
      </w:r>
    </w:p>
    <w:p w14:paraId="1498FCC8" w14:textId="6BF99A9D" w:rsidR="004B4D6E"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Lo primero que debe tenerse en cuenta es que los ingresos al Sistema Penitenciario y Carcelario en los últimos 1</w:t>
      </w:r>
      <w:r w:rsidR="00E67C47">
        <w:rPr>
          <w:rFonts w:ascii="Century Gothic" w:hAnsi="Century Gothic" w:cs="Arial"/>
          <w:lang w:val="es-CO"/>
        </w:rPr>
        <w:t>1</w:t>
      </w:r>
      <w:r w:rsidRPr="002D6F59">
        <w:rPr>
          <w:rFonts w:ascii="Century Gothic" w:hAnsi="Century Gothic" w:cs="Arial"/>
          <w:lang w:val="es-CO"/>
        </w:rPr>
        <w:t xml:space="preserve"> años por delitos sexuales contra menores de 18 años, han aumentado, como se muestra a continuación:</w:t>
      </w:r>
    </w:p>
    <w:p w14:paraId="61AD732B" w14:textId="3729F901" w:rsidR="00F24441" w:rsidRDefault="00F86944" w:rsidP="00F24441">
      <w:pPr>
        <w:spacing w:line="276" w:lineRule="auto"/>
        <w:jc w:val="center"/>
        <w:rPr>
          <w:rFonts w:ascii="Century Gothic" w:hAnsi="Century Gothic" w:cs="Arial"/>
          <w:lang w:val="es-CO"/>
        </w:rPr>
      </w:pPr>
      <w:r>
        <w:rPr>
          <w:rFonts w:ascii="Century Gothic" w:hAnsi="Century Gothic" w:cs="Arial"/>
          <w:lang w:val="es-CO"/>
        </w:rPr>
        <w:lastRenderedPageBreak/>
        <w:t>Ingresos</w:t>
      </w:r>
      <w:r w:rsidR="00F24441">
        <w:rPr>
          <w:rFonts w:ascii="Century Gothic" w:hAnsi="Century Gothic" w:cs="Arial"/>
          <w:lang w:val="es-CO"/>
        </w:rPr>
        <w:t xml:space="preserve"> delitos sexuales contra NNA</w:t>
      </w:r>
    </w:p>
    <w:p w14:paraId="33184E6E" w14:textId="59DE00E2" w:rsidR="003D3804" w:rsidRDefault="003D3804" w:rsidP="004B4D6E">
      <w:pPr>
        <w:spacing w:line="276" w:lineRule="auto"/>
        <w:jc w:val="both"/>
        <w:rPr>
          <w:rFonts w:ascii="Century Gothic" w:hAnsi="Century Gothic" w:cs="Arial"/>
          <w:lang w:val="es-CO"/>
        </w:rPr>
      </w:pPr>
      <w:r w:rsidRPr="003D3804">
        <w:rPr>
          <w:rFonts w:ascii="Century Gothic" w:hAnsi="Century Gothic" w:cs="Arial"/>
          <w:noProof/>
        </w:rPr>
        <w:drawing>
          <wp:inline distT="0" distB="0" distL="0" distR="0" wp14:anchorId="34D4C235" wp14:editId="250DB4F3">
            <wp:extent cx="5791835" cy="1641231"/>
            <wp:effectExtent l="0" t="0" r="12065" b="10160"/>
            <wp:docPr id="20" name="Gráfico 20">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FF70A2" w14:textId="2BC9504C" w:rsidR="004B4D6E" w:rsidRPr="005627A0" w:rsidRDefault="004B4D6E" w:rsidP="00A30B8F">
      <w:pPr>
        <w:jc w:val="center"/>
        <w:rPr>
          <w:rFonts w:ascii="Century Gothic" w:hAnsi="Century Gothic" w:cs="Arial"/>
          <w:lang w:val="es-CO"/>
        </w:rPr>
      </w:pPr>
      <w:r w:rsidRPr="002D6F59">
        <w:rPr>
          <w:rFonts w:ascii="Century Gothic" w:hAnsi="Century Gothic" w:cs="Arial"/>
          <w:sz w:val="18"/>
          <w:szCs w:val="18"/>
          <w:lang w:val="es-CO"/>
        </w:rPr>
        <w:t xml:space="preserve">Fuente: Sisipec - INPEC. Valores consolidados a </w:t>
      </w:r>
      <w:r w:rsidR="004D283E">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sidR="004D283E">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sidR="004D283E">
        <w:rPr>
          <w:rFonts w:ascii="Century Gothic" w:hAnsi="Century Gothic" w:cs="Arial"/>
          <w:sz w:val="18"/>
          <w:szCs w:val="18"/>
          <w:lang w:val="es-CO"/>
        </w:rPr>
        <w:t>20</w:t>
      </w:r>
    </w:p>
    <w:p w14:paraId="3590FBED" w14:textId="77777777" w:rsidR="004B4D6E" w:rsidRPr="002D6F59" w:rsidRDefault="004B4D6E" w:rsidP="004B4D6E">
      <w:pPr>
        <w:spacing w:line="276" w:lineRule="auto"/>
        <w:jc w:val="center"/>
        <w:rPr>
          <w:rFonts w:ascii="Century Gothic" w:hAnsi="Century Gothic" w:cs="Arial"/>
          <w:sz w:val="18"/>
          <w:szCs w:val="18"/>
          <w:lang w:val="es-CO"/>
        </w:rPr>
      </w:pPr>
    </w:p>
    <w:p w14:paraId="161D7D5B" w14:textId="338A6BBC" w:rsidR="004B4D6E"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 xml:space="preserve">Pero en lo que atañe a las cifras de reincidencia, entendida como reingreso al Sistema Penitenciario y Carcelario, encontramos que del total de población privada de la libertad (PPL) por delitos sexuales contra niños, niñas y adolescentes, cerca del </w:t>
      </w:r>
      <w:r w:rsidR="00A30B8F" w:rsidRPr="004D283E">
        <w:rPr>
          <w:rFonts w:ascii="Century Gothic" w:hAnsi="Century Gothic" w:cs="Arial"/>
          <w:b/>
          <w:lang w:val="es-CO"/>
        </w:rPr>
        <w:t>6.57</w:t>
      </w:r>
      <w:r w:rsidRPr="004D283E">
        <w:rPr>
          <w:rFonts w:ascii="Century Gothic" w:hAnsi="Century Gothic" w:cs="Arial"/>
          <w:b/>
          <w:lang w:val="es-CO"/>
        </w:rPr>
        <w:t>% es reincidente</w:t>
      </w:r>
      <w:r w:rsidRPr="002D6F59">
        <w:rPr>
          <w:rFonts w:ascii="Century Gothic" w:hAnsi="Century Gothic" w:cs="Arial"/>
          <w:lang w:val="es-CO"/>
        </w:rPr>
        <w:t xml:space="preserve">: </w:t>
      </w:r>
    </w:p>
    <w:p w14:paraId="6053CAE9" w14:textId="77777777" w:rsidR="004D283E" w:rsidRDefault="004D283E" w:rsidP="004B4D6E">
      <w:pPr>
        <w:spacing w:line="276" w:lineRule="auto"/>
        <w:jc w:val="both"/>
        <w:rPr>
          <w:rFonts w:ascii="Century Gothic" w:hAnsi="Century Gothic" w:cs="Arial"/>
          <w:lang w:val="es-CO"/>
        </w:rPr>
      </w:pPr>
    </w:p>
    <w:p w14:paraId="109B51D3" w14:textId="099C2EA8" w:rsidR="004D283E" w:rsidRDefault="004D283E" w:rsidP="004D283E">
      <w:pPr>
        <w:spacing w:line="276" w:lineRule="auto"/>
        <w:jc w:val="center"/>
        <w:rPr>
          <w:rFonts w:ascii="Century Gothic" w:hAnsi="Century Gothic" w:cs="Arial"/>
          <w:lang w:val="es-CO"/>
        </w:rPr>
      </w:pPr>
      <w:r>
        <w:rPr>
          <w:rFonts w:ascii="Century Gothic" w:hAnsi="Century Gothic" w:cs="Arial"/>
          <w:lang w:val="es-CO"/>
        </w:rPr>
        <w:t>% reincidencia delitos sexuales contra NNA</w:t>
      </w:r>
    </w:p>
    <w:p w14:paraId="3287419E" w14:textId="09ED1C86" w:rsidR="004D283E" w:rsidRDefault="004D283E" w:rsidP="004D283E">
      <w:pPr>
        <w:spacing w:line="276" w:lineRule="auto"/>
        <w:jc w:val="center"/>
        <w:rPr>
          <w:rFonts w:ascii="Century Gothic" w:hAnsi="Century Gothic" w:cs="Arial"/>
          <w:lang w:val="es-CO"/>
        </w:rPr>
      </w:pPr>
      <w:r w:rsidRPr="00110045">
        <w:rPr>
          <w:rFonts w:ascii="Century Gothic" w:hAnsi="Century Gothic" w:cs="Arial"/>
          <w:noProof/>
          <w:shd w:val="clear" w:color="auto" w:fill="D99594" w:themeFill="accent2" w:themeFillTint="99"/>
        </w:rPr>
        <w:drawing>
          <wp:inline distT="0" distB="0" distL="0" distR="0" wp14:anchorId="686BF727" wp14:editId="59F4FDB4">
            <wp:extent cx="3939540" cy="1289539"/>
            <wp:effectExtent l="0" t="0" r="10160" b="6350"/>
            <wp:docPr id="21" name="Gráfico 21">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B3AD71" w14:textId="77777777" w:rsidR="004D283E" w:rsidRPr="005627A0" w:rsidRDefault="004D283E" w:rsidP="004D283E">
      <w:pPr>
        <w:jc w:val="center"/>
        <w:rPr>
          <w:rFonts w:ascii="Century Gothic" w:hAnsi="Century Gothic" w:cs="Arial"/>
          <w:lang w:val="es-CO"/>
        </w:rPr>
      </w:pPr>
      <w:r w:rsidRPr="002D6F59">
        <w:rPr>
          <w:rFonts w:ascii="Century Gothic" w:hAnsi="Century Gothic" w:cs="Arial"/>
          <w:sz w:val="18"/>
          <w:szCs w:val="18"/>
          <w:lang w:val="es-CO"/>
        </w:rPr>
        <w:t xml:space="preserve">Fuente: Sisipec - INPEC. Valores consolidados a </w:t>
      </w:r>
      <w:r>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Pr>
          <w:rFonts w:ascii="Century Gothic" w:hAnsi="Century Gothic" w:cs="Arial"/>
          <w:sz w:val="18"/>
          <w:szCs w:val="18"/>
          <w:lang w:val="es-CO"/>
        </w:rPr>
        <w:t>20</w:t>
      </w:r>
    </w:p>
    <w:p w14:paraId="3BE1C76A" w14:textId="77777777" w:rsidR="004B4D6E" w:rsidRPr="002D6F59" w:rsidRDefault="004B4D6E" w:rsidP="00CC1E33">
      <w:pPr>
        <w:spacing w:line="276" w:lineRule="auto"/>
        <w:rPr>
          <w:rFonts w:ascii="Century Gothic" w:hAnsi="Century Gothic" w:cs="Arial"/>
          <w:sz w:val="18"/>
          <w:szCs w:val="18"/>
          <w:lang w:val="es-CO"/>
        </w:rPr>
      </w:pPr>
    </w:p>
    <w:p w14:paraId="5FAC1402" w14:textId="06EF7EC2" w:rsidR="004B4D6E" w:rsidRDefault="004B4D6E" w:rsidP="005E46D2">
      <w:pPr>
        <w:spacing w:line="276" w:lineRule="auto"/>
        <w:jc w:val="both"/>
        <w:rPr>
          <w:rFonts w:ascii="Century Gothic" w:hAnsi="Century Gothic" w:cs="Arial"/>
          <w:lang w:val="es-CO"/>
        </w:rPr>
      </w:pPr>
      <w:r w:rsidRPr="002D6F59">
        <w:rPr>
          <w:rFonts w:ascii="Century Gothic" w:hAnsi="Century Gothic" w:cs="Arial"/>
          <w:lang w:val="es-CO"/>
        </w:rPr>
        <w:t xml:space="preserve">En relación con el total de población reincidente, que es de </w:t>
      </w:r>
      <w:r w:rsidR="005E46D2" w:rsidRPr="005E46D2">
        <w:rPr>
          <w:rFonts w:ascii="Century Gothic" w:hAnsi="Century Gothic" w:cs="Arial"/>
          <w:lang w:val="es-CO"/>
        </w:rPr>
        <w:t xml:space="preserve">145.731 </w:t>
      </w:r>
      <w:r w:rsidRPr="002D6F59">
        <w:rPr>
          <w:rFonts w:ascii="Century Gothic" w:hAnsi="Century Gothic" w:cs="Arial"/>
          <w:lang w:val="es-CO"/>
        </w:rPr>
        <w:t xml:space="preserve">por todos los delitos en el Sistema Penitenciario y Carcelario, las personas que presentan reincidencia por delitos sexuales contra niños, niñas y adolescentes representan el </w:t>
      </w:r>
      <w:r w:rsidR="005E46D2">
        <w:rPr>
          <w:rFonts w:ascii="Century Gothic" w:hAnsi="Century Gothic" w:cs="Arial"/>
          <w:lang w:val="es-CO"/>
        </w:rPr>
        <w:t>1.16</w:t>
      </w:r>
      <w:r w:rsidRPr="002D6F59">
        <w:rPr>
          <w:rFonts w:ascii="Century Gothic" w:hAnsi="Century Gothic" w:cs="Arial"/>
          <w:lang w:val="es-CO"/>
        </w:rPr>
        <w:t xml:space="preserve">%: </w:t>
      </w:r>
    </w:p>
    <w:p w14:paraId="2CDE98C4" w14:textId="77777777" w:rsidR="008968BC" w:rsidRDefault="008968BC" w:rsidP="005E46D2">
      <w:pPr>
        <w:spacing w:line="276" w:lineRule="auto"/>
        <w:jc w:val="both"/>
        <w:rPr>
          <w:rFonts w:ascii="Century Gothic" w:hAnsi="Century Gothic" w:cs="Arial"/>
          <w:lang w:val="es-CO"/>
        </w:rPr>
      </w:pPr>
    </w:p>
    <w:p w14:paraId="79D01E85" w14:textId="7CDF2874" w:rsidR="005E46D2" w:rsidRDefault="008968BC" w:rsidP="008968BC">
      <w:pPr>
        <w:spacing w:line="276" w:lineRule="auto"/>
        <w:jc w:val="center"/>
      </w:pPr>
      <w:r>
        <w:rPr>
          <w:rFonts w:ascii="Century Gothic" w:hAnsi="Century Gothic" w:cs="Arial"/>
          <w:lang w:val="es-CO"/>
        </w:rPr>
        <w:t>PPL reincidentes por delitos sexuales contra NNA vs T</w:t>
      </w:r>
      <w:r w:rsidRPr="002D6F59">
        <w:rPr>
          <w:rFonts w:ascii="Century Gothic" w:hAnsi="Century Gothic" w:cs="Arial"/>
          <w:lang w:val="es-CO"/>
        </w:rPr>
        <w:t xml:space="preserve">otal </w:t>
      </w:r>
      <w:r>
        <w:rPr>
          <w:rFonts w:ascii="Century Gothic" w:hAnsi="Century Gothic" w:cs="Arial"/>
          <w:lang w:val="es-CO"/>
        </w:rPr>
        <w:t>PPL</w:t>
      </w:r>
      <w:r w:rsidRPr="002D6F59">
        <w:rPr>
          <w:rFonts w:ascii="Century Gothic" w:hAnsi="Century Gothic" w:cs="Arial"/>
          <w:lang w:val="es-CO"/>
        </w:rPr>
        <w:t xml:space="preserve"> reincidente</w:t>
      </w:r>
      <w:r>
        <w:rPr>
          <w:rFonts w:ascii="Century Gothic" w:hAnsi="Century Gothic" w:cs="Arial"/>
          <w:lang w:val="es-CO"/>
        </w:rPr>
        <w:t xml:space="preserve"> </w:t>
      </w:r>
    </w:p>
    <w:p w14:paraId="3E6A8024" w14:textId="16C2B7E0" w:rsidR="005E46D2" w:rsidRDefault="005E46D2" w:rsidP="005E46D2">
      <w:pPr>
        <w:spacing w:line="276" w:lineRule="auto"/>
        <w:jc w:val="center"/>
      </w:pPr>
      <w:r w:rsidRPr="00110045">
        <w:rPr>
          <w:rFonts w:ascii="Century Gothic" w:hAnsi="Century Gothic" w:cs="Arial"/>
          <w:noProof/>
          <w:shd w:val="clear" w:color="auto" w:fill="D99594" w:themeFill="accent2" w:themeFillTint="99"/>
        </w:rPr>
        <w:drawing>
          <wp:inline distT="0" distB="0" distL="0" distR="0" wp14:anchorId="4714DB33" wp14:editId="544E2A65">
            <wp:extent cx="5334000" cy="1512277"/>
            <wp:effectExtent l="0" t="0" r="12700" b="12065"/>
            <wp:docPr id="22" name="Gráfico 22">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989ECC" w14:textId="77777777" w:rsidR="000B13FB" w:rsidRPr="005627A0" w:rsidRDefault="000B13FB" w:rsidP="000B13FB">
      <w:pPr>
        <w:jc w:val="center"/>
        <w:rPr>
          <w:rFonts w:ascii="Century Gothic" w:hAnsi="Century Gothic" w:cs="Arial"/>
          <w:lang w:val="es-CO"/>
        </w:rPr>
      </w:pPr>
      <w:r w:rsidRPr="002D6F59">
        <w:rPr>
          <w:rFonts w:ascii="Century Gothic" w:hAnsi="Century Gothic" w:cs="Arial"/>
          <w:sz w:val="18"/>
          <w:szCs w:val="18"/>
          <w:lang w:val="es-CO"/>
        </w:rPr>
        <w:t xml:space="preserve">Fuente: Sisipec - INPEC. Valores consolidados a </w:t>
      </w:r>
      <w:r>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Pr>
          <w:rFonts w:ascii="Century Gothic" w:hAnsi="Century Gothic" w:cs="Arial"/>
          <w:sz w:val="18"/>
          <w:szCs w:val="18"/>
          <w:lang w:val="es-CO"/>
        </w:rPr>
        <w:t>20</w:t>
      </w:r>
    </w:p>
    <w:p w14:paraId="79425A4C" w14:textId="19E39B02" w:rsidR="004B4D6E" w:rsidRDefault="004B4D6E" w:rsidP="00FC4C33">
      <w:pPr>
        <w:spacing w:line="276" w:lineRule="auto"/>
        <w:jc w:val="both"/>
        <w:rPr>
          <w:rFonts w:ascii="Century Gothic" w:hAnsi="Century Gothic" w:cs="Arial"/>
          <w:lang w:val="es-CO"/>
        </w:rPr>
      </w:pPr>
      <w:r w:rsidRPr="002D6F59">
        <w:rPr>
          <w:rFonts w:ascii="Century Gothic" w:hAnsi="Century Gothic" w:cs="Arial"/>
          <w:lang w:val="es-CO"/>
        </w:rPr>
        <w:lastRenderedPageBreak/>
        <w:t>Los mayores índices de ingreso a los establecimientos de reclusión de las personas reincidentes por delitos sexuales contra menores de 18 años se han presentado en 201</w:t>
      </w:r>
      <w:r w:rsidR="00622D69">
        <w:rPr>
          <w:rFonts w:ascii="Century Gothic" w:hAnsi="Century Gothic" w:cs="Arial"/>
          <w:lang w:val="es-CO"/>
        </w:rPr>
        <w:t>9</w:t>
      </w:r>
      <w:r w:rsidRPr="002D6F59">
        <w:rPr>
          <w:rFonts w:ascii="Century Gothic" w:hAnsi="Century Gothic" w:cs="Arial"/>
          <w:lang w:val="es-CO"/>
        </w:rPr>
        <w:t xml:space="preserve">, como se muestra a continuación: </w:t>
      </w:r>
    </w:p>
    <w:p w14:paraId="4BBE4F34" w14:textId="77777777" w:rsidR="00B8691C" w:rsidRDefault="00B8691C" w:rsidP="00B8691C">
      <w:pPr>
        <w:jc w:val="both"/>
        <w:rPr>
          <w:rFonts w:ascii="Century Gothic" w:hAnsi="Century Gothic" w:cs="Arial"/>
          <w:lang w:val="es-CO"/>
        </w:rPr>
      </w:pPr>
    </w:p>
    <w:p w14:paraId="7B291FB9" w14:textId="6BDAC04A" w:rsidR="006A796F" w:rsidRPr="00622D69" w:rsidRDefault="00622D69" w:rsidP="00622D69">
      <w:pPr>
        <w:spacing w:line="276" w:lineRule="auto"/>
        <w:jc w:val="center"/>
        <w:rPr>
          <w:rFonts w:ascii="Century Gothic" w:hAnsi="Century Gothic" w:cs="Arial"/>
          <w:lang w:val="es-CO"/>
        </w:rPr>
      </w:pPr>
      <w:r>
        <w:rPr>
          <w:rFonts w:ascii="Century Gothic" w:hAnsi="Century Gothic" w:cs="Arial"/>
          <w:lang w:val="es-CO"/>
        </w:rPr>
        <w:t xml:space="preserve">Año de ingreso a </w:t>
      </w:r>
      <w:r w:rsidR="00B84706">
        <w:rPr>
          <w:rFonts w:ascii="Century Gothic" w:hAnsi="Century Gothic" w:cs="Arial"/>
          <w:lang w:val="es-CO"/>
        </w:rPr>
        <w:t xml:space="preserve">la </w:t>
      </w:r>
      <w:r>
        <w:rPr>
          <w:rFonts w:ascii="Century Gothic" w:hAnsi="Century Gothic" w:cs="Arial"/>
          <w:lang w:val="es-CO"/>
        </w:rPr>
        <w:t>carcel de reincidentes</w:t>
      </w:r>
    </w:p>
    <w:p w14:paraId="351CB35F" w14:textId="1AB6FB33" w:rsidR="006A796F" w:rsidRDefault="006A796F" w:rsidP="00FC4C33">
      <w:pPr>
        <w:spacing w:line="276" w:lineRule="auto"/>
        <w:jc w:val="both"/>
        <w:rPr>
          <w:rFonts w:ascii="Century Gothic" w:hAnsi="Century Gothic" w:cs="Arial"/>
          <w:sz w:val="18"/>
          <w:szCs w:val="18"/>
          <w:lang w:val="es-CO"/>
        </w:rPr>
      </w:pPr>
      <w:r w:rsidRPr="003D3804">
        <w:rPr>
          <w:rFonts w:ascii="Century Gothic" w:hAnsi="Century Gothic" w:cs="Arial"/>
          <w:noProof/>
        </w:rPr>
        <w:drawing>
          <wp:inline distT="0" distB="0" distL="0" distR="0" wp14:anchorId="78CF825B" wp14:editId="54E67F4B">
            <wp:extent cx="5791835" cy="1488440"/>
            <wp:effectExtent l="0" t="0" r="12065" b="10160"/>
            <wp:docPr id="23" name="Gráfico 23">
              <a:extLst xmlns:a="http://schemas.openxmlformats.org/drawingml/2006/main">
                <a:ext uri="{FF2B5EF4-FFF2-40B4-BE49-F238E27FC236}">
                  <a16:creationId xmlns:a16="http://schemas.microsoft.com/office/drawing/2014/main" id="{388EB3EF-CC5D-634E-8EF4-5C762A717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6956DC" w14:textId="77777777" w:rsidR="00622D69" w:rsidRPr="005627A0" w:rsidRDefault="00622D69" w:rsidP="00622D69">
      <w:pPr>
        <w:jc w:val="center"/>
        <w:rPr>
          <w:rFonts w:ascii="Century Gothic" w:hAnsi="Century Gothic" w:cs="Arial"/>
          <w:lang w:val="es-CO"/>
        </w:rPr>
      </w:pPr>
      <w:r w:rsidRPr="002D6F59">
        <w:rPr>
          <w:rFonts w:ascii="Century Gothic" w:hAnsi="Century Gothic" w:cs="Arial"/>
          <w:sz w:val="18"/>
          <w:szCs w:val="18"/>
          <w:lang w:val="es-CO"/>
        </w:rPr>
        <w:t xml:space="preserve">Fuente: Sisipec - INPEC. Valores consolidados a </w:t>
      </w:r>
      <w:r>
        <w:rPr>
          <w:rFonts w:ascii="Century Gothic" w:hAnsi="Century Gothic" w:cs="Arial"/>
          <w:sz w:val="18"/>
          <w:szCs w:val="18"/>
          <w:lang w:val="es-CO"/>
        </w:rPr>
        <w:t>3</w:t>
      </w:r>
      <w:r w:rsidRPr="002D6F59">
        <w:rPr>
          <w:rFonts w:ascii="Century Gothic" w:hAnsi="Century Gothic" w:cs="Arial"/>
          <w:sz w:val="18"/>
          <w:szCs w:val="18"/>
          <w:lang w:val="es-CO"/>
        </w:rPr>
        <w:t xml:space="preserve"> de a</w:t>
      </w:r>
      <w:r>
        <w:rPr>
          <w:rFonts w:ascii="Century Gothic" w:hAnsi="Century Gothic" w:cs="Arial"/>
          <w:sz w:val="18"/>
          <w:szCs w:val="18"/>
          <w:lang w:val="es-CO"/>
        </w:rPr>
        <w:t>bril</w:t>
      </w:r>
      <w:r w:rsidRPr="002D6F59">
        <w:rPr>
          <w:rFonts w:ascii="Century Gothic" w:hAnsi="Century Gothic" w:cs="Arial"/>
          <w:sz w:val="18"/>
          <w:szCs w:val="18"/>
          <w:lang w:val="es-CO"/>
        </w:rPr>
        <w:t xml:space="preserve"> de 20</w:t>
      </w:r>
      <w:r>
        <w:rPr>
          <w:rFonts w:ascii="Century Gothic" w:hAnsi="Century Gothic" w:cs="Arial"/>
          <w:sz w:val="18"/>
          <w:szCs w:val="18"/>
          <w:lang w:val="es-CO"/>
        </w:rPr>
        <w:t>20</w:t>
      </w:r>
    </w:p>
    <w:p w14:paraId="692CDFA4" w14:textId="798C9188" w:rsidR="006A796F" w:rsidRDefault="006A796F" w:rsidP="00FC4C33">
      <w:pPr>
        <w:spacing w:line="276" w:lineRule="auto"/>
        <w:jc w:val="both"/>
        <w:rPr>
          <w:rFonts w:ascii="Century Gothic" w:hAnsi="Century Gothic" w:cs="Arial"/>
          <w:sz w:val="18"/>
          <w:szCs w:val="18"/>
          <w:lang w:val="es-CO"/>
        </w:rPr>
      </w:pPr>
    </w:p>
    <w:p w14:paraId="79A4C0A8" w14:textId="240004E7" w:rsidR="004B4D6E"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 xml:space="preserve">En lo que respecta al comportamiento de estos delitos </w:t>
      </w:r>
      <w:r w:rsidR="00A443A2">
        <w:rPr>
          <w:rFonts w:ascii="Century Gothic" w:hAnsi="Century Gothic" w:cs="Arial"/>
          <w:lang w:val="es-CO"/>
        </w:rPr>
        <w:t xml:space="preserve">durante </w:t>
      </w:r>
      <w:r w:rsidRPr="002D6F59">
        <w:rPr>
          <w:rFonts w:ascii="Century Gothic" w:hAnsi="Century Gothic" w:cs="Arial"/>
          <w:lang w:val="es-CO"/>
        </w:rPr>
        <w:t>en el año 2019, según reportes de la Policía Nacional, se presenta</w:t>
      </w:r>
      <w:r w:rsidR="00A443A2">
        <w:rPr>
          <w:rFonts w:ascii="Century Gothic" w:hAnsi="Century Gothic" w:cs="Arial"/>
          <w:lang w:val="es-CO"/>
        </w:rPr>
        <w:t>ron</w:t>
      </w:r>
      <w:r w:rsidRPr="002D6F59">
        <w:rPr>
          <w:rFonts w:ascii="Century Gothic" w:hAnsi="Century Gothic" w:cs="Arial"/>
          <w:lang w:val="es-CO"/>
        </w:rPr>
        <w:t xml:space="preserve"> </w:t>
      </w:r>
      <w:r w:rsidR="00614263">
        <w:rPr>
          <w:rFonts w:ascii="Century Gothic" w:hAnsi="Century Gothic" w:cs="Arial"/>
          <w:lang w:val="es-CO"/>
        </w:rPr>
        <w:t>4.510</w:t>
      </w:r>
      <w:r w:rsidRPr="002D6F59">
        <w:rPr>
          <w:rFonts w:ascii="Century Gothic" w:hAnsi="Century Gothic" w:cs="Arial"/>
          <w:lang w:val="es-CO"/>
        </w:rPr>
        <w:t xml:space="preserve"> capturas por delitos sexuales contra niños, niñas y adolescentes, con mayor incidencia en los departamentos de Cundinamarca, Antioquia y Valle del Cauca, así:</w:t>
      </w:r>
    </w:p>
    <w:p w14:paraId="407FE3F1" w14:textId="77777777" w:rsidR="004B4D6E" w:rsidRPr="002D6F59" w:rsidRDefault="004B4D6E" w:rsidP="00207C55">
      <w:pPr>
        <w:spacing w:line="276" w:lineRule="auto"/>
        <w:jc w:val="center"/>
        <w:rPr>
          <w:rFonts w:ascii="Century Gothic" w:hAnsi="Century Gothic" w:cs="Arial"/>
          <w:lang w:val="es-CO"/>
        </w:rPr>
      </w:pPr>
    </w:p>
    <w:tbl>
      <w:tblPr>
        <w:tblStyle w:val="Tablaconcuadrcula4-nfasis5"/>
        <w:tblW w:w="7225" w:type="dxa"/>
        <w:jc w:val="center"/>
        <w:tblLook w:val="04A0" w:firstRow="1" w:lastRow="0" w:firstColumn="1" w:lastColumn="0" w:noHBand="0" w:noVBand="1"/>
      </w:tblPr>
      <w:tblGrid>
        <w:gridCol w:w="2405"/>
        <w:gridCol w:w="2268"/>
        <w:gridCol w:w="2552"/>
      </w:tblGrid>
      <w:tr w:rsidR="00C74A40" w:rsidRPr="002D6F59" w14:paraId="37C74E85" w14:textId="0B94E90F" w:rsidTr="00A17E8A">
        <w:trPr>
          <w:cnfStyle w:val="100000000000" w:firstRow="1" w:lastRow="0" w:firstColumn="0" w:lastColumn="0" w:oddVBand="0" w:evenVBand="0" w:oddHBand="0" w:evenHBand="0" w:firstRowFirstColumn="0" w:firstRowLastColumn="0" w:lastRowFirstColumn="0" w:lastRowLastColumn="0"/>
          <w:trHeight w:val="191"/>
          <w:tblHeade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E5B8B7" w:themeFill="accent2" w:themeFillTint="66"/>
            <w:noWrap/>
            <w:hideMark/>
          </w:tcPr>
          <w:p w14:paraId="05587895" w14:textId="77777777" w:rsidR="00C74A40" w:rsidRPr="002D6F59" w:rsidRDefault="00C74A40" w:rsidP="00EC1365">
            <w:pPr>
              <w:spacing w:line="276" w:lineRule="auto"/>
              <w:jc w:val="center"/>
              <w:rPr>
                <w:rFonts w:ascii="Century Gothic" w:hAnsi="Century Gothic" w:cs="Arial"/>
                <w:color w:val="auto"/>
                <w:sz w:val="20"/>
                <w:szCs w:val="20"/>
                <w:lang w:val="es-CO"/>
              </w:rPr>
            </w:pPr>
            <w:r w:rsidRPr="002D6F59">
              <w:rPr>
                <w:rFonts w:ascii="Century Gothic" w:hAnsi="Century Gothic" w:cs="Arial"/>
                <w:color w:val="auto"/>
                <w:sz w:val="20"/>
                <w:szCs w:val="20"/>
                <w:lang w:val="es-CO"/>
              </w:rPr>
              <w:t>DEPARTAMENTO</w:t>
            </w:r>
          </w:p>
        </w:tc>
        <w:tc>
          <w:tcPr>
            <w:tcW w:w="2268" w:type="dxa"/>
            <w:shd w:val="clear" w:color="auto" w:fill="E5B8B7" w:themeFill="accent2" w:themeFillTint="66"/>
            <w:noWrap/>
            <w:hideMark/>
          </w:tcPr>
          <w:p w14:paraId="2874C1CB" w14:textId="2E976F2C" w:rsidR="00C74A40" w:rsidRPr="00F57607" w:rsidRDefault="00C74A40" w:rsidP="00F576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lang w:val="es-CO"/>
              </w:rPr>
            </w:pPr>
            <w:r w:rsidRPr="002D6F59">
              <w:rPr>
                <w:rFonts w:ascii="Century Gothic" w:hAnsi="Century Gothic" w:cs="Arial"/>
                <w:color w:val="auto"/>
                <w:sz w:val="20"/>
                <w:szCs w:val="20"/>
                <w:lang w:val="es-CO"/>
              </w:rPr>
              <w:t>CAPTURAS</w:t>
            </w:r>
            <w:r>
              <w:rPr>
                <w:rFonts w:ascii="Century Gothic" w:hAnsi="Century Gothic" w:cs="Arial"/>
                <w:color w:val="auto"/>
                <w:sz w:val="20"/>
                <w:szCs w:val="20"/>
                <w:lang w:val="es-CO"/>
              </w:rPr>
              <w:t xml:space="preserve"> 2019 </w:t>
            </w:r>
            <w:r w:rsidRPr="00F57607">
              <w:rPr>
                <w:rFonts w:ascii="Century Gothic" w:hAnsi="Century Gothic" w:cs="Arial"/>
                <w:b w:val="0"/>
                <w:color w:val="auto"/>
                <w:sz w:val="18"/>
                <w:szCs w:val="18"/>
                <w:lang w:val="es-CO"/>
              </w:rPr>
              <w:t>(</w:t>
            </w:r>
            <w:r w:rsidRPr="00F57607">
              <w:rPr>
                <w:rFonts w:ascii="Century Gothic" w:hAnsi="Century Gothic" w:cs="Arial"/>
                <w:b w:val="0"/>
                <w:bCs w:val="0"/>
                <w:color w:val="auto"/>
                <w:sz w:val="18"/>
                <w:szCs w:val="18"/>
                <w:lang w:val="es-CO"/>
              </w:rPr>
              <w:t>01/01/19 – 3</w:t>
            </w:r>
            <w:r>
              <w:rPr>
                <w:rFonts w:ascii="Century Gothic" w:hAnsi="Century Gothic" w:cs="Arial"/>
                <w:b w:val="0"/>
                <w:bCs w:val="0"/>
                <w:color w:val="auto"/>
                <w:sz w:val="18"/>
                <w:szCs w:val="18"/>
                <w:lang w:val="es-CO"/>
              </w:rPr>
              <w:t>1</w:t>
            </w:r>
            <w:r w:rsidRPr="00F57607">
              <w:rPr>
                <w:rFonts w:ascii="Century Gothic" w:hAnsi="Century Gothic" w:cs="Arial"/>
                <w:b w:val="0"/>
                <w:bCs w:val="0"/>
                <w:color w:val="auto"/>
                <w:sz w:val="18"/>
                <w:szCs w:val="18"/>
                <w:lang w:val="es-CO"/>
              </w:rPr>
              <w:t>/</w:t>
            </w:r>
            <w:r>
              <w:rPr>
                <w:rFonts w:ascii="Century Gothic" w:hAnsi="Century Gothic" w:cs="Arial"/>
                <w:b w:val="0"/>
                <w:bCs w:val="0"/>
                <w:color w:val="auto"/>
                <w:sz w:val="18"/>
                <w:szCs w:val="18"/>
                <w:lang w:val="es-CO"/>
              </w:rPr>
              <w:t>12</w:t>
            </w:r>
            <w:r w:rsidRPr="00F57607">
              <w:rPr>
                <w:rFonts w:ascii="Century Gothic" w:hAnsi="Century Gothic" w:cs="Arial"/>
                <w:b w:val="0"/>
                <w:bCs w:val="0"/>
                <w:color w:val="auto"/>
                <w:sz w:val="18"/>
                <w:szCs w:val="18"/>
                <w:lang w:val="es-CO"/>
              </w:rPr>
              <w:t>/2019)</w:t>
            </w:r>
          </w:p>
          <w:p w14:paraId="2E16B26A" w14:textId="04360BF1" w:rsidR="00C74A40" w:rsidRPr="002D6F59" w:rsidRDefault="00C74A40" w:rsidP="00EC1365">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p>
        </w:tc>
        <w:tc>
          <w:tcPr>
            <w:tcW w:w="2552" w:type="dxa"/>
            <w:shd w:val="clear" w:color="auto" w:fill="E5B8B7" w:themeFill="accent2" w:themeFillTint="66"/>
          </w:tcPr>
          <w:p w14:paraId="6ABD9D9E" w14:textId="57094139" w:rsidR="00C74A40" w:rsidRPr="00C74A40" w:rsidRDefault="00C74A40" w:rsidP="00C74A40">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lang w:val="es-CO"/>
              </w:rPr>
            </w:pPr>
            <w:r w:rsidRPr="002D6F59">
              <w:rPr>
                <w:rFonts w:ascii="Century Gothic" w:hAnsi="Century Gothic" w:cs="Arial"/>
                <w:color w:val="auto"/>
                <w:sz w:val="20"/>
                <w:szCs w:val="20"/>
                <w:lang w:val="es-CO"/>
              </w:rPr>
              <w:t>CAPTURAS</w:t>
            </w:r>
            <w:r>
              <w:rPr>
                <w:rFonts w:ascii="Century Gothic" w:hAnsi="Century Gothic" w:cs="Arial"/>
                <w:color w:val="auto"/>
                <w:sz w:val="20"/>
                <w:szCs w:val="20"/>
                <w:lang w:val="es-CO"/>
              </w:rPr>
              <w:t xml:space="preserve"> 2020 </w:t>
            </w:r>
            <w:r w:rsidRPr="00F57607">
              <w:rPr>
                <w:rFonts w:ascii="Century Gothic" w:hAnsi="Century Gothic" w:cs="Arial"/>
                <w:b w:val="0"/>
                <w:color w:val="auto"/>
                <w:sz w:val="18"/>
                <w:szCs w:val="18"/>
                <w:lang w:val="es-CO"/>
              </w:rPr>
              <w:t>(</w:t>
            </w:r>
            <w:r w:rsidRPr="00F57607">
              <w:rPr>
                <w:rFonts w:ascii="Century Gothic" w:hAnsi="Century Gothic" w:cs="Arial"/>
                <w:b w:val="0"/>
                <w:bCs w:val="0"/>
                <w:color w:val="auto"/>
                <w:sz w:val="18"/>
                <w:szCs w:val="18"/>
                <w:lang w:val="es-CO"/>
              </w:rPr>
              <w:t>01/01/</w:t>
            </w:r>
            <w:r w:rsidR="00F06E83">
              <w:rPr>
                <w:rFonts w:ascii="Century Gothic" w:hAnsi="Century Gothic" w:cs="Arial"/>
                <w:b w:val="0"/>
                <w:bCs w:val="0"/>
                <w:color w:val="auto"/>
                <w:sz w:val="18"/>
                <w:szCs w:val="18"/>
                <w:lang w:val="es-CO"/>
              </w:rPr>
              <w:t>20</w:t>
            </w:r>
            <w:r w:rsidRPr="00F57607">
              <w:rPr>
                <w:rFonts w:ascii="Century Gothic" w:hAnsi="Century Gothic" w:cs="Arial"/>
                <w:b w:val="0"/>
                <w:bCs w:val="0"/>
                <w:color w:val="auto"/>
                <w:sz w:val="18"/>
                <w:szCs w:val="18"/>
                <w:lang w:val="es-CO"/>
              </w:rPr>
              <w:t xml:space="preserve">– </w:t>
            </w:r>
            <w:r w:rsidR="00F06E83">
              <w:rPr>
                <w:rFonts w:ascii="Century Gothic" w:hAnsi="Century Gothic" w:cs="Arial"/>
                <w:b w:val="0"/>
                <w:bCs w:val="0"/>
                <w:color w:val="auto"/>
                <w:sz w:val="18"/>
                <w:szCs w:val="18"/>
                <w:lang w:val="es-CO"/>
              </w:rPr>
              <w:t>29</w:t>
            </w:r>
            <w:r w:rsidRPr="00F57607">
              <w:rPr>
                <w:rFonts w:ascii="Century Gothic" w:hAnsi="Century Gothic" w:cs="Arial"/>
                <w:b w:val="0"/>
                <w:bCs w:val="0"/>
                <w:color w:val="auto"/>
                <w:sz w:val="18"/>
                <w:szCs w:val="18"/>
                <w:lang w:val="es-CO"/>
              </w:rPr>
              <w:t>/</w:t>
            </w:r>
            <w:r w:rsidR="00F06E83">
              <w:rPr>
                <w:rFonts w:ascii="Century Gothic" w:hAnsi="Century Gothic" w:cs="Arial"/>
                <w:b w:val="0"/>
                <w:bCs w:val="0"/>
                <w:color w:val="auto"/>
                <w:sz w:val="18"/>
                <w:szCs w:val="18"/>
                <w:lang w:val="es-CO"/>
              </w:rPr>
              <w:t>02/</w:t>
            </w:r>
            <w:r w:rsidRPr="00F57607">
              <w:rPr>
                <w:rFonts w:ascii="Century Gothic" w:hAnsi="Century Gothic" w:cs="Arial"/>
                <w:b w:val="0"/>
                <w:bCs w:val="0"/>
                <w:color w:val="auto"/>
                <w:sz w:val="18"/>
                <w:szCs w:val="18"/>
                <w:lang w:val="es-CO"/>
              </w:rPr>
              <w:t>20</w:t>
            </w:r>
            <w:r w:rsidR="00F06E83">
              <w:rPr>
                <w:rFonts w:ascii="Century Gothic" w:hAnsi="Century Gothic" w:cs="Arial"/>
                <w:b w:val="0"/>
                <w:bCs w:val="0"/>
                <w:color w:val="auto"/>
                <w:sz w:val="18"/>
                <w:szCs w:val="18"/>
                <w:lang w:val="es-CO"/>
              </w:rPr>
              <w:t>20</w:t>
            </w:r>
            <w:r w:rsidRPr="00F57607">
              <w:rPr>
                <w:rFonts w:ascii="Century Gothic" w:hAnsi="Century Gothic" w:cs="Arial"/>
                <w:b w:val="0"/>
                <w:bCs w:val="0"/>
                <w:color w:val="auto"/>
                <w:sz w:val="18"/>
                <w:szCs w:val="18"/>
                <w:lang w:val="es-CO"/>
              </w:rPr>
              <w:t>)</w:t>
            </w:r>
          </w:p>
        </w:tc>
      </w:tr>
      <w:tr w:rsidR="00C74A40" w:rsidRPr="002D6F59" w14:paraId="239722F0" w14:textId="0754A6F2"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hideMark/>
          </w:tcPr>
          <w:p w14:paraId="741C1F20" w14:textId="74F276DD"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 xml:space="preserve">    AMAZONAS</w:t>
            </w:r>
          </w:p>
        </w:tc>
        <w:tc>
          <w:tcPr>
            <w:tcW w:w="2268" w:type="dxa"/>
            <w:shd w:val="clear" w:color="auto" w:fill="F2DBDB" w:themeFill="accent2" w:themeFillTint="33"/>
            <w:noWrap/>
            <w:hideMark/>
          </w:tcPr>
          <w:p w14:paraId="75E31485" w14:textId="27A2B285" w:rsidR="00C74A40" w:rsidRPr="002D6F59"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21</w:t>
            </w:r>
          </w:p>
        </w:tc>
        <w:tc>
          <w:tcPr>
            <w:tcW w:w="2552" w:type="dxa"/>
            <w:shd w:val="clear" w:color="auto" w:fill="F2DBDB" w:themeFill="accent2" w:themeFillTint="33"/>
          </w:tcPr>
          <w:p w14:paraId="55953EA5" w14:textId="1E7B1D9E"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w:t>
            </w:r>
          </w:p>
        </w:tc>
      </w:tr>
      <w:tr w:rsidR="00C74A40" w:rsidRPr="002D6F59" w14:paraId="22C6FC91" w14:textId="59912AA3"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55D69A6" w14:textId="39506F26" w:rsidR="00C74A40" w:rsidRPr="00A62041" w:rsidRDefault="00C74A40" w:rsidP="00EC1365">
            <w:pPr>
              <w:spacing w:line="276" w:lineRule="auto"/>
              <w:jc w:val="center"/>
              <w:rPr>
                <w:rFonts w:ascii="Century Gothic" w:hAnsi="Century Gothic" w:cs="Arial"/>
                <w:sz w:val="20"/>
                <w:szCs w:val="20"/>
                <w:lang w:val="es-CO"/>
              </w:rPr>
            </w:pPr>
            <w:r w:rsidRPr="00A62041">
              <w:rPr>
                <w:rFonts w:ascii="Century Gothic" w:hAnsi="Century Gothic" w:cs="Arial"/>
                <w:sz w:val="20"/>
                <w:szCs w:val="20"/>
                <w:lang w:val="es-CO"/>
              </w:rPr>
              <w:t>ANTIOQUIA</w:t>
            </w:r>
          </w:p>
        </w:tc>
        <w:tc>
          <w:tcPr>
            <w:tcW w:w="2268" w:type="dxa"/>
            <w:shd w:val="clear" w:color="auto" w:fill="F2DBDB" w:themeFill="accent2" w:themeFillTint="33"/>
            <w:noWrap/>
          </w:tcPr>
          <w:p w14:paraId="3BAACEA9" w14:textId="704FC8F5" w:rsidR="00C74A40" w:rsidRPr="00A62041"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A62041">
              <w:rPr>
                <w:rFonts w:ascii="Century Gothic" w:hAnsi="Century Gothic" w:cs="Arial"/>
                <w:b/>
                <w:sz w:val="20"/>
                <w:szCs w:val="20"/>
                <w:lang w:val="es-CO"/>
              </w:rPr>
              <w:t>735</w:t>
            </w:r>
          </w:p>
        </w:tc>
        <w:tc>
          <w:tcPr>
            <w:tcW w:w="2552" w:type="dxa"/>
            <w:shd w:val="clear" w:color="auto" w:fill="F2DBDB" w:themeFill="accent2" w:themeFillTint="33"/>
          </w:tcPr>
          <w:p w14:paraId="311DA23B" w14:textId="069EBC5B" w:rsidR="00C74A40" w:rsidRPr="00A62041"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Pr>
                <w:rFonts w:ascii="Century Gothic" w:hAnsi="Century Gothic" w:cs="Arial"/>
                <w:b/>
                <w:sz w:val="20"/>
                <w:szCs w:val="20"/>
                <w:lang w:val="es-CO"/>
              </w:rPr>
              <w:t>107</w:t>
            </w:r>
          </w:p>
        </w:tc>
      </w:tr>
      <w:tr w:rsidR="00C74A40" w:rsidRPr="002D6F59" w14:paraId="401DF34F" w14:textId="58E5844E"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E9E360D" w14:textId="619334A9"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ARAUCA</w:t>
            </w:r>
          </w:p>
        </w:tc>
        <w:tc>
          <w:tcPr>
            <w:tcW w:w="2268" w:type="dxa"/>
            <w:shd w:val="clear" w:color="auto" w:fill="F2DBDB" w:themeFill="accent2" w:themeFillTint="33"/>
            <w:noWrap/>
          </w:tcPr>
          <w:p w14:paraId="368C5176" w14:textId="26A95352"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56</w:t>
            </w:r>
          </w:p>
        </w:tc>
        <w:tc>
          <w:tcPr>
            <w:tcW w:w="2552" w:type="dxa"/>
            <w:shd w:val="clear" w:color="auto" w:fill="F2DBDB" w:themeFill="accent2" w:themeFillTint="33"/>
          </w:tcPr>
          <w:p w14:paraId="78117A20" w14:textId="0293E294"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11</w:t>
            </w:r>
          </w:p>
        </w:tc>
      </w:tr>
      <w:tr w:rsidR="00C74A40" w:rsidRPr="002D6F59" w14:paraId="1DAEB817" w14:textId="51871D01"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9B6F67C" w14:textId="392C95E0"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ATLANTICO</w:t>
            </w:r>
          </w:p>
        </w:tc>
        <w:tc>
          <w:tcPr>
            <w:tcW w:w="2268" w:type="dxa"/>
            <w:shd w:val="clear" w:color="auto" w:fill="F2DBDB" w:themeFill="accent2" w:themeFillTint="33"/>
            <w:noWrap/>
          </w:tcPr>
          <w:p w14:paraId="0B1AC971" w14:textId="7DAC0975"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173</w:t>
            </w:r>
          </w:p>
        </w:tc>
        <w:tc>
          <w:tcPr>
            <w:tcW w:w="2552" w:type="dxa"/>
            <w:shd w:val="clear" w:color="auto" w:fill="F2DBDB" w:themeFill="accent2" w:themeFillTint="33"/>
          </w:tcPr>
          <w:p w14:paraId="4770811C" w14:textId="7391C88D"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29</w:t>
            </w:r>
          </w:p>
        </w:tc>
      </w:tr>
      <w:tr w:rsidR="00C74A40" w:rsidRPr="002D6F59" w14:paraId="7DD7EC8E" w14:textId="4215EF88"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BB014C9" w14:textId="55046C1D"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BOLIVA</w:t>
            </w:r>
          </w:p>
        </w:tc>
        <w:tc>
          <w:tcPr>
            <w:tcW w:w="2268" w:type="dxa"/>
            <w:shd w:val="clear" w:color="auto" w:fill="F2DBDB" w:themeFill="accent2" w:themeFillTint="33"/>
            <w:noWrap/>
          </w:tcPr>
          <w:p w14:paraId="4D1A1D03" w14:textId="5CEB8542"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143</w:t>
            </w:r>
          </w:p>
        </w:tc>
        <w:tc>
          <w:tcPr>
            <w:tcW w:w="2552" w:type="dxa"/>
            <w:shd w:val="clear" w:color="auto" w:fill="F2DBDB" w:themeFill="accent2" w:themeFillTint="33"/>
          </w:tcPr>
          <w:p w14:paraId="5E92FE82" w14:textId="1D5EEE28"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26</w:t>
            </w:r>
          </w:p>
        </w:tc>
      </w:tr>
      <w:tr w:rsidR="00C74A40" w:rsidRPr="002D6F59" w14:paraId="4B8A750A" w14:textId="483AB3B8"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E8C4380" w14:textId="15B62DA7"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BOYACÁ</w:t>
            </w:r>
          </w:p>
        </w:tc>
        <w:tc>
          <w:tcPr>
            <w:tcW w:w="2268" w:type="dxa"/>
            <w:shd w:val="clear" w:color="auto" w:fill="F2DBDB" w:themeFill="accent2" w:themeFillTint="33"/>
            <w:noWrap/>
          </w:tcPr>
          <w:p w14:paraId="56065227" w14:textId="64513152"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79</w:t>
            </w:r>
          </w:p>
        </w:tc>
        <w:tc>
          <w:tcPr>
            <w:tcW w:w="2552" w:type="dxa"/>
            <w:shd w:val="clear" w:color="auto" w:fill="F2DBDB" w:themeFill="accent2" w:themeFillTint="33"/>
          </w:tcPr>
          <w:p w14:paraId="0F0D624D" w14:textId="726259C7"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w:t>
            </w:r>
          </w:p>
        </w:tc>
      </w:tr>
      <w:tr w:rsidR="00C74A40" w:rsidRPr="002D6F59" w14:paraId="16B4F5CB" w14:textId="0F80F04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3AA86422" w14:textId="32E6DE9C"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CALDAS</w:t>
            </w:r>
          </w:p>
        </w:tc>
        <w:tc>
          <w:tcPr>
            <w:tcW w:w="2268" w:type="dxa"/>
            <w:shd w:val="clear" w:color="auto" w:fill="F2DBDB" w:themeFill="accent2" w:themeFillTint="33"/>
            <w:noWrap/>
          </w:tcPr>
          <w:p w14:paraId="6916472A" w14:textId="28D055F2"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130</w:t>
            </w:r>
          </w:p>
        </w:tc>
        <w:tc>
          <w:tcPr>
            <w:tcW w:w="2552" w:type="dxa"/>
            <w:shd w:val="clear" w:color="auto" w:fill="F2DBDB" w:themeFill="accent2" w:themeFillTint="33"/>
          </w:tcPr>
          <w:p w14:paraId="608D9DA4" w14:textId="174AE6A0"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22</w:t>
            </w:r>
          </w:p>
        </w:tc>
      </w:tr>
      <w:tr w:rsidR="00C74A40" w:rsidRPr="002D6F59" w14:paraId="4C2766AA" w14:textId="33E586FA"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B9CF5E1" w14:textId="621E5E20"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CAQUETA</w:t>
            </w:r>
          </w:p>
        </w:tc>
        <w:tc>
          <w:tcPr>
            <w:tcW w:w="2268" w:type="dxa"/>
            <w:shd w:val="clear" w:color="auto" w:fill="F2DBDB" w:themeFill="accent2" w:themeFillTint="33"/>
            <w:noWrap/>
          </w:tcPr>
          <w:p w14:paraId="3F9181A5" w14:textId="10698886"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176</w:t>
            </w:r>
          </w:p>
        </w:tc>
        <w:tc>
          <w:tcPr>
            <w:tcW w:w="2552" w:type="dxa"/>
            <w:shd w:val="clear" w:color="auto" w:fill="F2DBDB" w:themeFill="accent2" w:themeFillTint="33"/>
          </w:tcPr>
          <w:p w14:paraId="0777FBF7" w14:textId="1E548B82"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w:t>
            </w:r>
          </w:p>
        </w:tc>
      </w:tr>
      <w:tr w:rsidR="00C74A40" w:rsidRPr="002D6F59" w14:paraId="15D6845E" w14:textId="2109EFB9"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05467D51" w14:textId="2654A521"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CASANARE</w:t>
            </w:r>
          </w:p>
        </w:tc>
        <w:tc>
          <w:tcPr>
            <w:tcW w:w="2268" w:type="dxa"/>
            <w:shd w:val="clear" w:color="auto" w:fill="F2DBDB" w:themeFill="accent2" w:themeFillTint="33"/>
            <w:noWrap/>
          </w:tcPr>
          <w:p w14:paraId="7C424824" w14:textId="18149E86"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99</w:t>
            </w:r>
          </w:p>
        </w:tc>
        <w:tc>
          <w:tcPr>
            <w:tcW w:w="2552" w:type="dxa"/>
            <w:shd w:val="clear" w:color="auto" w:fill="F2DBDB" w:themeFill="accent2" w:themeFillTint="33"/>
          </w:tcPr>
          <w:p w14:paraId="153E6081" w14:textId="7B570AF6"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w:t>
            </w:r>
          </w:p>
        </w:tc>
      </w:tr>
      <w:tr w:rsidR="00C74A40" w:rsidRPr="002D6F59" w14:paraId="3BF13E49" w14:textId="1508F59B"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BA996B2" w14:textId="42460E24"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CAUCA</w:t>
            </w:r>
          </w:p>
        </w:tc>
        <w:tc>
          <w:tcPr>
            <w:tcW w:w="2268" w:type="dxa"/>
            <w:shd w:val="clear" w:color="auto" w:fill="F2DBDB" w:themeFill="accent2" w:themeFillTint="33"/>
            <w:noWrap/>
          </w:tcPr>
          <w:p w14:paraId="24070255" w14:textId="475DA727"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146</w:t>
            </w:r>
          </w:p>
        </w:tc>
        <w:tc>
          <w:tcPr>
            <w:tcW w:w="2552" w:type="dxa"/>
            <w:shd w:val="clear" w:color="auto" w:fill="F2DBDB" w:themeFill="accent2" w:themeFillTint="33"/>
          </w:tcPr>
          <w:p w14:paraId="13C2EC64" w14:textId="7FFD2236"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22</w:t>
            </w:r>
          </w:p>
        </w:tc>
      </w:tr>
      <w:tr w:rsidR="00C74A40" w:rsidRPr="002D6F59" w14:paraId="2251BED6" w14:textId="37F36AD5"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C70AA28" w14:textId="59D4479C"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CESAR</w:t>
            </w:r>
          </w:p>
        </w:tc>
        <w:tc>
          <w:tcPr>
            <w:tcW w:w="2268" w:type="dxa"/>
            <w:shd w:val="clear" w:color="auto" w:fill="F2DBDB" w:themeFill="accent2" w:themeFillTint="33"/>
            <w:noWrap/>
          </w:tcPr>
          <w:p w14:paraId="793C889C" w14:textId="224F40D7"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107</w:t>
            </w:r>
          </w:p>
        </w:tc>
        <w:tc>
          <w:tcPr>
            <w:tcW w:w="2552" w:type="dxa"/>
            <w:shd w:val="clear" w:color="auto" w:fill="F2DBDB" w:themeFill="accent2" w:themeFillTint="33"/>
          </w:tcPr>
          <w:p w14:paraId="10563131" w14:textId="51FF4CB0"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17</w:t>
            </w:r>
          </w:p>
        </w:tc>
      </w:tr>
      <w:tr w:rsidR="00C74A40" w:rsidRPr="002D6F59" w14:paraId="341DF460" w14:textId="55A9E709"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34D417CF" w14:textId="13B9A4B6"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CHOCO</w:t>
            </w:r>
          </w:p>
        </w:tc>
        <w:tc>
          <w:tcPr>
            <w:tcW w:w="2268" w:type="dxa"/>
            <w:shd w:val="clear" w:color="auto" w:fill="F2DBDB" w:themeFill="accent2" w:themeFillTint="33"/>
            <w:noWrap/>
          </w:tcPr>
          <w:p w14:paraId="47A23026" w14:textId="59C9AE0A" w:rsidR="00C74A40"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38</w:t>
            </w:r>
          </w:p>
        </w:tc>
        <w:tc>
          <w:tcPr>
            <w:tcW w:w="2552" w:type="dxa"/>
            <w:shd w:val="clear" w:color="auto" w:fill="F2DBDB" w:themeFill="accent2" w:themeFillTint="33"/>
          </w:tcPr>
          <w:p w14:paraId="721133FC" w14:textId="4A2DEBE1" w:rsidR="00C74A40"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w:t>
            </w:r>
          </w:p>
        </w:tc>
      </w:tr>
      <w:tr w:rsidR="00C74A40" w:rsidRPr="002D6F59" w14:paraId="0DC31BF8" w14:textId="19044415"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48FBB02" w14:textId="4D2D20A2"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CÓRDOBA</w:t>
            </w:r>
          </w:p>
        </w:tc>
        <w:tc>
          <w:tcPr>
            <w:tcW w:w="2268" w:type="dxa"/>
            <w:shd w:val="clear" w:color="auto" w:fill="F2DBDB" w:themeFill="accent2" w:themeFillTint="33"/>
            <w:noWrap/>
          </w:tcPr>
          <w:p w14:paraId="49063243" w14:textId="1CDBE74A"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198</w:t>
            </w:r>
          </w:p>
        </w:tc>
        <w:tc>
          <w:tcPr>
            <w:tcW w:w="2552" w:type="dxa"/>
            <w:shd w:val="clear" w:color="auto" w:fill="F2DBDB" w:themeFill="accent2" w:themeFillTint="33"/>
          </w:tcPr>
          <w:p w14:paraId="53B4A515" w14:textId="604256DD"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34</w:t>
            </w:r>
          </w:p>
        </w:tc>
      </w:tr>
      <w:tr w:rsidR="00C74A40" w:rsidRPr="002D6F59" w14:paraId="59F6FF42" w14:textId="542DED18"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79F19E6" w14:textId="44CB0874" w:rsidR="00C74A40" w:rsidRPr="002E3DD3" w:rsidRDefault="00C74A40" w:rsidP="00EC1365">
            <w:pPr>
              <w:spacing w:line="276" w:lineRule="auto"/>
              <w:jc w:val="center"/>
              <w:rPr>
                <w:rFonts w:ascii="Century Gothic" w:hAnsi="Century Gothic" w:cs="Arial"/>
                <w:sz w:val="20"/>
                <w:szCs w:val="20"/>
                <w:lang w:val="es-CO"/>
              </w:rPr>
            </w:pPr>
            <w:r w:rsidRPr="002E3DD3">
              <w:rPr>
                <w:rFonts w:ascii="Century Gothic" w:hAnsi="Century Gothic" w:cs="Arial"/>
                <w:sz w:val="20"/>
                <w:szCs w:val="20"/>
                <w:lang w:val="es-CO"/>
              </w:rPr>
              <w:t>CUNDINAMARCA</w:t>
            </w:r>
          </w:p>
        </w:tc>
        <w:tc>
          <w:tcPr>
            <w:tcW w:w="2268" w:type="dxa"/>
            <w:shd w:val="clear" w:color="auto" w:fill="F2DBDB" w:themeFill="accent2" w:themeFillTint="33"/>
            <w:noWrap/>
          </w:tcPr>
          <w:p w14:paraId="3DB16831" w14:textId="65709E18" w:rsidR="00C74A40" w:rsidRPr="002E3DD3" w:rsidRDefault="00C74A40"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2E3DD3">
              <w:rPr>
                <w:rFonts w:ascii="Century Gothic" w:hAnsi="Century Gothic" w:cs="Arial"/>
                <w:b/>
                <w:sz w:val="20"/>
                <w:szCs w:val="20"/>
                <w:lang w:val="es-CO"/>
              </w:rPr>
              <w:t>635</w:t>
            </w:r>
          </w:p>
        </w:tc>
        <w:tc>
          <w:tcPr>
            <w:tcW w:w="2552" w:type="dxa"/>
            <w:shd w:val="clear" w:color="auto" w:fill="F2DBDB" w:themeFill="accent2" w:themeFillTint="33"/>
          </w:tcPr>
          <w:p w14:paraId="00EDA317" w14:textId="74E21BC8" w:rsidR="00C74A40" w:rsidRPr="00AC392A" w:rsidRDefault="00D1672B" w:rsidP="00EC13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AC392A">
              <w:rPr>
                <w:rFonts w:ascii="Century Gothic" w:hAnsi="Century Gothic" w:cs="Arial"/>
                <w:b/>
                <w:sz w:val="20"/>
                <w:szCs w:val="20"/>
                <w:lang w:val="es-CO"/>
              </w:rPr>
              <w:t>111</w:t>
            </w:r>
          </w:p>
        </w:tc>
      </w:tr>
      <w:tr w:rsidR="00C74A40" w:rsidRPr="002D6F59" w14:paraId="1877561B" w14:textId="37965603"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025738A8" w14:textId="52D0DF63" w:rsidR="00C74A40" w:rsidRPr="002D6F59" w:rsidRDefault="00C74A40" w:rsidP="00EC1365">
            <w:pPr>
              <w:spacing w:line="276" w:lineRule="auto"/>
              <w:jc w:val="center"/>
              <w:rPr>
                <w:rFonts w:ascii="Century Gothic" w:hAnsi="Century Gothic" w:cs="Arial"/>
                <w:sz w:val="20"/>
                <w:szCs w:val="20"/>
                <w:lang w:val="es-CO"/>
              </w:rPr>
            </w:pPr>
            <w:r>
              <w:rPr>
                <w:rFonts w:ascii="Century Gothic" w:hAnsi="Century Gothic" w:cs="Arial"/>
                <w:sz w:val="20"/>
                <w:szCs w:val="20"/>
                <w:lang w:val="es-CO"/>
              </w:rPr>
              <w:t>GUAINIA</w:t>
            </w:r>
          </w:p>
        </w:tc>
        <w:tc>
          <w:tcPr>
            <w:tcW w:w="2268" w:type="dxa"/>
            <w:shd w:val="clear" w:color="auto" w:fill="F2DBDB" w:themeFill="accent2" w:themeFillTint="33"/>
            <w:noWrap/>
          </w:tcPr>
          <w:p w14:paraId="67252E8A" w14:textId="2C6DE18D" w:rsidR="00C74A40" w:rsidRDefault="00C74A40"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4</w:t>
            </w:r>
          </w:p>
        </w:tc>
        <w:tc>
          <w:tcPr>
            <w:tcW w:w="2552" w:type="dxa"/>
            <w:shd w:val="clear" w:color="auto" w:fill="F2DBDB" w:themeFill="accent2" w:themeFillTint="33"/>
          </w:tcPr>
          <w:p w14:paraId="1D6E94D3" w14:textId="7C12495C" w:rsidR="00C74A40" w:rsidRDefault="00D1672B" w:rsidP="00EC136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0</w:t>
            </w:r>
          </w:p>
        </w:tc>
      </w:tr>
      <w:tr w:rsidR="00D1672B" w:rsidRPr="002D6F59" w14:paraId="4D0C8D20" w14:textId="36501887"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675CD047" w14:textId="2F62B1A4"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GUAJIRA</w:t>
            </w:r>
          </w:p>
        </w:tc>
        <w:tc>
          <w:tcPr>
            <w:tcW w:w="2268" w:type="dxa"/>
            <w:shd w:val="clear" w:color="auto" w:fill="F2DBDB" w:themeFill="accent2" w:themeFillTint="33"/>
            <w:noWrap/>
          </w:tcPr>
          <w:p w14:paraId="6EAF102D" w14:textId="5FA7CB0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63</w:t>
            </w:r>
          </w:p>
        </w:tc>
        <w:tc>
          <w:tcPr>
            <w:tcW w:w="2552" w:type="dxa"/>
            <w:shd w:val="clear" w:color="auto" w:fill="F2DBDB" w:themeFill="accent2" w:themeFillTint="33"/>
          </w:tcPr>
          <w:p w14:paraId="39C9BD86" w14:textId="0494BC8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w:t>
            </w:r>
          </w:p>
        </w:tc>
      </w:tr>
      <w:tr w:rsidR="00D1672B" w:rsidRPr="002D6F59" w14:paraId="536DE5FB" w14:textId="0B78864A"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60160502" w14:textId="264CA9B3"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GUAVAIRE</w:t>
            </w:r>
          </w:p>
        </w:tc>
        <w:tc>
          <w:tcPr>
            <w:tcW w:w="2268" w:type="dxa"/>
            <w:shd w:val="clear" w:color="auto" w:fill="F2DBDB" w:themeFill="accent2" w:themeFillTint="33"/>
            <w:noWrap/>
          </w:tcPr>
          <w:p w14:paraId="47CB0AE6" w14:textId="74E898B8"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30</w:t>
            </w:r>
          </w:p>
        </w:tc>
        <w:tc>
          <w:tcPr>
            <w:tcW w:w="2552" w:type="dxa"/>
            <w:shd w:val="clear" w:color="auto" w:fill="F2DBDB" w:themeFill="accent2" w:themeFillTint="33"/>
          </w:tcPr>
          <w:p w14:paraId="29C478BC" w14:textId="591137AC"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5</w:t>
            </w:r>
          </w:p>
        </w:tc>
      </w:tr>
      <w:tr w:rsidR="00D1672B" w:rsidRPr="002D6F59" w14:paraId="6EB841C7" w14:textId="71589272"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6F6DCD5" w14:textId="1BED5C27"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HUILA</w:t>
            </w:r>
          </w:p>
        </w:tc>
        <w:tc>
          <w:tcPr>
            <w:tcW w:w="2268" w:type="dxa"/>
            <w:shd w:val="clear" w:color="auto" w:fill="F2DBDB" w:themeFill="accent2" w:themeFillTint="33"/>
            <w:noWrap/>
          </w:tcPr>
          <w:p w14:paraId="7782C479" w14:textId="42A5E0A6"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129</w:t>
            </w:r>
          </w:p>
        </w:tc>
        <w:tc>
          <w:tcPr>
            <w:tcW w:w="2552" w:type="dxa"/>
            <w:shd w:val="clear" w:color="auto" w:fill="F2DBDB" w:themeFill="accent2" w:themeFillTint="33"/>
          </w:tcPr>
          <w:p w14:paraId="6DF70A8F" w14:textId="049196E8"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15</w:t>
            </w:r>
          </w:p>
        </w:tc>
      </w:tr>
      <w:tr w:rsidR="00D1672B" w:rsidRPr="002D6F59" w14:paraId="10E06E59" w14:textId="395D0690"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C5161B9" w14:textId="0353DE02"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MAGDALENA</w:t>
            </w:r>
          </w:p>
        </w:tc>
        <w:tc>
          <w:tcPr>
            <w:tcW w:w="2268" w:type="dxa"/>
            <w:shd w:val="clear" w:color="auto" w:fill="F2DBDB" w:themeFill="accent2" w:themeFillTint="33"/>
            <w:noWrap/>
          </w:tcPr>
          <w:p w14:paraId="591EE267" w14:textId="157C41F8"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142</w:t>
            </w:r>
          </w:p>
        </w:tc>
        <w:tc>
          <w:tcPr>
            <w:tcW w:w="2552" w:type="dxa"/>
            <w:shd w:val="clear" w:color="auto" w:fill="F2DBDB" w:themeFill="accent2" w:themeFillTint="33"/>
          </w:tcPr>
          <w:p w14:paraId="40D18A78" w14:textId="6056F874"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w:t>
            </w:r>
          </w:p>
        </w:tc>
      </w:tr>
      <w:tr w:rsidR="00D1672B" w:rsidRPr="002D6F59" w14:paraId="3D773A5C" w14:textId="41B9F45C"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64D9F7B" w14:textId="0808597F"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META</w:t>
            </w:r>
          </w:p>
        </w:tc>
        <w:tc>
          <w:tcPr>
            <w:tcW w:w="2268" w:type="dxa"/>
            <w:shd w:val="clear" w:color="auto" w:fill="F2DBDB" w:themeFill="accent2" w:themeFillTint="33"/>
            <w:noWrap/>
          </w:tcPr>
          <w:p w14:paraId="2AEC11E5" w14:textId="187EA181"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145</w:t>
            </w:r>
          </w:p>
        </w:tc>
        <w:tc>
          <w:tcPr>
            <w:tcW w:w="2552" w:type="dxa"/>
            <w:shd w:val="clear" w:color="auto" w:fill="F2DBDB" w:themeFill="accent2" w:themeFillTint="33"/>
          </w:tcPr>
          <w:p w14:paraId="15E0544D" w14:textId="0386607F"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22</w:t>
            </w:r>
          </w:p>
        </w:tc>
      </w:tr>
      <w:tr w:rsidR="00D1672B" w:rsidRPr="002D6F59" w14:paraId="197A509D" w14:textId="5A0ED082"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5D4009E" w14:textId="0D08EDAE"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lastRenderedPageBreak/>
              <w:t>NARIÑO</w:t>
            </w:r>
          </w:p>
        </w:tc>
        <w:tc>
          <w:tcPr>
            <w:tcW w:w="2268" w:type="dxa"/>
            <w:shd w:val="clear" w:color="auto" w:fill="F2DBDB" w:themeFill="accent2" w:themeFillTint="33"/>
            <w:noWrap/>
          </w:tcPr>
          <w:p w14:paraId="51287E18" w14:textId="62909C08"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116</w:t>
            </w:r>
          </w:p>
        </w:tc>
        <w:tc>
          <w:tcPr>
            <w:tcW w:w="2552" w:type="dxa"/>
            <w:shd w:val="clear" w:color="auto" w:fill="F2DBDB" w:themeFill="accent2" w:themeFillTint="33"/>
          </w:tcPr>
          <w:p w14:paraId="0561F075" w14:textId="5530A042"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w:t>
            </w:r>
          </w:p>
        </w:tc>
      </w:tr>
      <w:tr w:rsidR="00D1672B" w:rsidRPr="002D6F59" w14:paraId="64CB4E92" w14:textId="19527B31"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3DEF8710" w14:textId="62B2B10B"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 xml:space="preserve">NORTE DE SANTANDER </w:t>
            </w:r>
          </w:p>
        </w:tc>
        <w:tc>
          <w:tcPr>
            <w:tcW w:w="2268" w:type="dxa"/>
            <w:shd w:val="clear" w:color="auto" w:fill="F2DBDB" w:themeFill="accent2" w:themeFillTint="33"/>
            <w:noWrap/>
          </w:tcPr>
          <w:p w14:paraId="291D5179" w14:textId="4464AA51"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86</w:t>
            </w:r>
          </w:p>
        </w:tc>
        <w:tc>
          <w:tcPr>
            <w:tcW w:w="2552" w:type="dxa"/>
            <w:shd w:val="clear" w:color="auto" w:fill="F2DBDB" w:themeFill="accent2" w:themeFillTint="33"/>
          </w:tcPr>
          <w:p w14:paraId="0C4CD39B" w14:textId="4580DFB0"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w:t>
            </w:r>
          </w:p>
        </w:tc>
      </w:tr>
      <w:tr w:rsidR="00D1672B" w:rsidRPr="002D6F59" w14:paraId="2A766B64" w14:textId="7A5E9BC0"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57FD2485" w14:textId="12D741CD"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PUTUMAYO</w:t>
            </w:r>
          </w:p>
        </w:tc>
        <w:tc>
          <w:tcPr>
            <w:tcW w:w="2268" w:type="dxa"/>
            <w:shd w:val="clear" w:color="auto" w:fill="F2DBDB" w:themeFill="accent2" w:themeFillTint="33"/>
            <w:noWrap/>
          </w:tcPr>
          <w:p w14:paraId="256EE5E6" w14:textId="018C992A"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67</w:t>
            </w:r>
          </w:p>
        </w:tc>
        <w:tc>
          <w:tcPr>
            <w:tcW w:w="2552" w:type="dxa"/>
            <w:shd w:val="clear" w:color="auto" w:fill="F2DBDB" w:themeFill="accent2" w:themeFillTint="33"/>
          </w:tcPr>
          <w:p w14:paraId="1A8A08AB" w14:textId="64955A3C"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7</w:t>
            </w:r>
          </w:p>
        </w:tc>
      </w:tr>
      <w:tr w:rsidR="00D1672B" w:rsidRPr="002D6F59" w14:paraId="5EE9A207" w14:textId="3C7B3B99"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59EB7B0D" w14:textId="5826E8E6"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QUINDIO</w:t>
            </w:r>
          </w:p>
        </w:tc>
        <w:tc>
          <w:tcPr>
            <w:tcW w:w="2268" w:type="dxa"/>
            <w:shd w:val="clear" w:color="auto" w:fill="F2DBDB" w:themeFill="accent2" w:themeFillTint="33"/>
            <w:noWrap/>
          </w:tcPr>
          <w:p w14:paraId="39DC9916" w14:textId="708C28E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41</w:t>
            </w:r>
          </w:p>
        </w:tc>
        <w:tc>
          <w:tcPr>
            <w:tcW w:w="2552" w:type="dxa"/>
            <w:shd w:val="clear" w:color="auto" w:fill="F2DBDB" w:themeFill="accent2" w:themeFillTint="33"/>
          </w:tcPr>
          <w:p w14:paraId="5EAA2E41" w14:textId="50B3ADE7"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6</w:t>
            </w:r>
          </w:p>
        </w:tc>
      </w:tr>
      <w:tr w:rsidR="00D1672B" w:rsidRPr="002D6F59" w14:paraId="637E9DCB" w14:textId="41BD4D0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048B743" w14:textId="63373B2C"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RISARALDA</w:t>
            </w:r>
          </w:p>
        </w:tc>
        <w:tc>
          <w:tcPr>
            <w:tcW w:w="2268" w:type="dxa"/>
            <w:shd w:val="clear" w:color="auto" w:fill="F2DBDB" w:themeFill="accent2" w:themeFillTint="33"/>
            <w:noWrap/>
          </w:tcPr>
          <w:p w14:paraId="20AB378B" w14:textId="3C443675"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95</w:t>
            </w:r>
          </w:p>
        </w:tc>
        <w:tc>
          <w:tcPr>
            <w:tcW w:w="2552" w:type="dxa"/>
            <w:shd w:val="clear" w:color="auto" w:fill="F2DBDB" w:themeFill="accent2" w:themeFillTint="33"/>
          </w:tcPr>
          <w:p w14:paraId="163FED97" w14:textId="1C2627F0"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21</w:t>
            </w:r>
          </w:p>
        </w:tc>
      </w:tr>
      <w:tr w:rsidR="00D1672B" w:rsidRPr="002D6F59" w14:paraId="22B7D9EA" w14:textId="2D8A859C"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4EC0831A" w14:textId="077E5E5A"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SAN ANDRES</w:t>
            </w:r>
          </w:p>
        </w:tc>
        <w:tc>
          <w:tcPr>
            <w:tcW w:w="2268" w:type="dxa"/>
            <w:shd w:val="clear" w:color="auto" w:fill="F2DBDB" w:themeFill="accent2" w:themeFillTint="33"/>
            <w:noWrap/>
          </w:tcPr>
          <w:p w14:paraId="4A726C76" w14:textId="1FEA0C69"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w:t>
            </w:r>
          </w:p>
        </w:tc>
        <w:tc>
          <w:tcPr>
            <w:tcW w:w="2552" w:type="dxa"/>
            <w:shd w:val="clear" w:color="auto" w:fill="F2DBDB" w:themeFill="accent2" w:themeFillTint="33"/>
          </w:tcPr>
          <w:p w14:paraId="36347DA6" w14:textId="7ED6E5EB"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w:t>
            </w:r>
          </w:p>
        </w:tc>
      </w:tr>
      <w:tr w:rsidR="00D1672B" w:rsidRPr="002D6F59" w14:paraId="6F5E3AD5" w14:textId="16C52A3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26DFA25E" w14:textId="26A803E8"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SANTANDER</w:t>
            </w:r>
          </w:p>
        </w:tc>
        <w:tc>
          <w:tcPr>
            <w:tcW w:w="2268" w:type="dxa"/>
            <w:shd w:val="clear" w:color="auto" w:fill="F2DBDB" w:themeFill="accent2" w:themeFillTint="33"/>
            <w:noWrap/>
          </w:tcPr>
          <w:p w14:paraId="6C64BAC6" w14:textId="418A6E1D"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180</w:t>
            </w:r>
          </w:p>
        </w:tc>
        <w:tc>
          <w:tcPr>
            <w:tcW w:w="2552" w:type="dxa"/>
            <w:shd w:val="clear" w:color="auto" w:fill="F2DBDB" w:themeFill="accent2" w:themeFillTint="33"/>
          </w:tcPr>
          <w:p w14:paraId="24F047F5" w14:textId="3DC693B3"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36</w:t>
            </w:r>
          </w:p>
        </w:tc>
      </w:tr>
      <w:tr w:rsidR="00D1672B" w:rsidRPr="002D6F59" w14:paraId="17AA336B" w14:textId="310557A6"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D21C72C" w14:textId="2D386057"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SUCRE</w:t>
            </w:r>
          </w:p>
        </w:tc>
        <w:tc>
          <w:tcPr>
            <w:tcW w:w="2268" w:type="dxa"/>
            <w:shd w:val="clear" w:color="auto" w:fill="F2DBDB" w:themeFill="accent2" w:themeFillTint="33"/>
            <w:noWrap/>
          </w:tcPr>
          <w:p w14:paraId="33E29CE8" w14:textId="14987428"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125</w:t>
            </w:r>
          </w:p>
        </w:tc>
        <w:tc>
          <w:tcPr>
            <w:tcW w:w="2552" w:type="dxa"/>
            <w:shd w:val="clear" w:color="auto" w:fill="F2DBDB" w:themeFill="accent2" w:themeFillTint="33"/>
          </w:tcPr>
          <w:p w14:paraId="35004662" w14:textId="248D1D74"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w:t>
            </w:r>
          </w:p>
        </w:tc>
      </w:tr>
      <w:tr w:rsidR="00D1672B" w:rsidRPr="002D6F59" w14:paraId="615EF96E" w14:textId="6698F797"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5795AB8E" w14:textId="0B2FA008"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TOLIMA</w:t>
            </w:r>
          </w:p>
        </w:tc>
        <w:tc>
          <w:tcPr>
            <w:tcW w:w="2268" w:type="dxa"/>
            <w:shd w:val="clear" w:color="auto" w:fill="F2DBDB" w:themeFill="accent2" w:themeFillTint="33"/>
            <w:noWrap/>
          </w:tcPr>
          <w:p w14:paraId="23E34872" w14:textId="63C0BBCE"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146</w:t>
            </w:r>
          </w:p>
        </w:tc>
        <w:tc>
          <w:tcPr>
            <w:tcW w:w="2552" w:type="dxa"/>
            <w:shd w:val="clear" w:color="auto" w:fill="F2DBDB" w:themeFill="accent2" w:themeFillTint="33"/>
          </w:tcPr>
          <w:p w14:paraId="155F3B78" w14:textId="70F1BEBB"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32</w:t>
            </w:r>
          </w:p>
        </w:tc>
      </w:tr>
      <w:tr w:rsidR="00D1672B" w:rsidRPr="002D6F59" w14:paraId="36FD6529" w14:textId="01791562"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1A351E4C" w14:textId="4E8369C9" w:rsidR="00D1672B" w:rsidRPr="00A62041" w:rsidRDefault="00D1672B" w:rsidP="00D1672B">
            <w:pPr>
              <w:spacing w:line="276" w:lineRule="auto"/>
              <w:jc w:val="center"/>
              <w:rPr>
                <w:rFonts w:ascii="Century Gothic" w:hAnsi="Century Gothic" w:cs="Arial"/>
                <w:sz w:val="20"/>
                <w:szCs w:val="20"/>
                <w:lang w:val="es-CO"/>
              </w:rPr>
            </w:pPr>
            <w:r w:rsidRPr="00A62041">
              <w:rPr>
                <w:rFonts w:ascii="Century Gothic" w:hAnsi="Century Gothic" w:cs="Arial"/>
                <w:sz w:val="20"/>
                <w:szCs w:val="20"/>
                <w:lang w:val="es-CO"/>
              </w:rPr>
              <w:t>VALLE</w:t>
            </w:r>
          </w:p>
        </w:tc>
        <w:tc>
          <w:tcPr>
            <w:tcW w:w="2268" w:type="dxa"/>
            <w:shd w:val="clear" w:color="auto" w:fill="F2DBDB" w:themeFill="accent2" w:themeFillTint="33"/>
            <w:noWrap/>
          </w:tcPr>
          <w:p w14:paraId="02D8172A" w14:textId="2472329E" w:rsidR="00D1672B" w:rsidRPr="00A62041"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sidRPr="00A62041">
              <w:rPr>
                <w:rFonts w:ascii="Century Gothic" w:hAnsi="Century Gothic" w:cs="Arial"/>
                <w:b/>
                <w:sz w:val="20"/>
                <w:szCs w:val="20"/>
                <w:lang w:val="es-CO"/>
              </w:rPr>
              <w:t>379</w:t>
            </w:r>
          </w:p>
        </w:tc>
        <w:tc>
          <w:tcPr>
            <w:tcW w:w="2552" w:type="dxa"/>
            <w:shd w:val="clear" w:color="auto" w:fill="F2DBDB" w:themeFill="accent2" w:themeFillTint="33"/>
          </w:tcPr>
          <w:p w14:paraId="1D35F937" w14:textId="775C1EC5" w:rsidR="00D1672B" w:rsidRPr="00A62041"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0"/>
                <w:szCs w:val="20"/>
                <w:lang w:val="es-CO"/>
              </w:rPr>
            </w:pPr>
            <w:r>
              <w:rPr>
                <w:rFonts w:ascii="Century Gothic" w:hAnsi="Century Gothic" w:cs="Arial"/>
                <w:b/>
                <w:sz w:val="20"/>
                <w:szCs w:val="20"/>
                <w:lang w:val="es-CO"/>
              </w:rPr>
              <w:t>66</w:t>
            </w:r>
          </w:p>
        </w:tc>
      </w:tr>
      <w:tr w:rsidR="00D1672B" w:rsidRPr="002D6F59" w14:paraId="5965E5C3" w14:textId="3AA677B1"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7E9638C5" w14:textId="5B5AB1F2"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VAUPÉS</w:t>
            </w:r>
          </w:p>
        </w:tc>
        <w:tc>
          <w:tcPr>
            <w:tcW w:w="2268" w:type="dxa"/>
            <w:shd w:val="clear" w:color="auto" w:fill="F2DBDB" w:themeFill="accent2" w:themeFillTint="33"/>
            <w:noWrap/>
          </w:tcPr>
          <w:p w14:paraId="640CC81D" w14:textId="4C0C9A62"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8</w:t>
            </w:r>
          </w:p>
        </w:tc>
        <w:tc>
          <w:tcPr>
            <w:tcW w:w="2552" w:type="dxa"/>
            <w:shd w:val="clear" w:color="auto" w:fill="F2DBDB" w:themeFill="accent2" w:themeFillTint="33"/>
          </w:tcPr>
          <w:p w14:paraId="1F4A95EF" w14:textId="07870D65" w:rsidR="00D1672B"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0</w:t>
            </w:r>
          </w:p>
        </w:tc>
      </w:tr>
      <w:tr w:rsidR="00D1672B" w:rsidRPr="002D6F59" w14:paraId="17DFC57F" w14:textId="0B66BEB4" w:rsidTr="00A17E8A">
        <w:trPr>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tcPr>
          <w:p w14:paraId="03C40B54" w14:textId="06C941EA" w:rsidR="00D1672B" w:rsidRPr="002D6F59" w:rsidRDefault="00D1672B" w:rsidP="00D1672B">
            <w:pPr>
              <w:spacing w:line="276" w:lineRule="auto"/>
              <w:jc w:val="center"/>
              <w:rPr>
                <w:rFonts w:ascii="Century Gothic" w:hAnsi="Century Gothic" w:cs="Arial"/>
                <w:sz w:val="20"/>
                <w:szCs w:val="20"/>
                <w:lang w:val="es-CO"/>
              </w:rPr>
            </w:pPr>
            <w:r>
              <w:rPr>
                <w:rFonts w:ascii="Century Gothic" w:hAnsi="Century Gothic" w:cs="Arial"/>
                <w:sz w:val="20"/>
                <w:szCs w:val="20"/>
                <w:lang w:val="es-CO"/>
              </w:rPr>
              <w:t>VICHADA</w:t>
            </w:r>
          </w:p>
        </w:tc>
        <w:tc>
          <w:tcPr>
            <w:tcW w:w="2268" w:type="dxa"/>
            <w:shd w:val="clear" w:color="auto" w:fill="F2DBDB" w:themeFill="accent2" w:themeFillTint="33"/>
            <w:noWrap/>
          </w:tcPr>
          <w:p w14:paraId="12F33909" w14:textId="7644961D"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10</w:t>
            </w:r>
          </w:p>
        </w:tc>
        <w:tc>
          <w:tcPr>
            <w:tcW w:w="2552" w:type="dxa"/>
            <w:shd w:val="clear" w:color="auto" w:fill="F2DBDB" w:themeFill="accent2" w:themeFillTint="33"/>
          </w:tcPr>
          <w:p w14:paraId="7FAEC0CD" w14:textId="23D3EA2B" w:rsidR="00D1672B" w:rsidRDefault="00D1672B" w:rsidP="00D1672B">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lang w:val="es-CO"/>
              </w:rPr>
            </w:pPr>
            <w:r>
              <w:rPr>
                <w:rFonts w:ascii="Century Gothic" w:hAnsi="Century Gothic" w:cs="Arial"/>
                <w:sz w:val="20"/>
                <w:szCs w:val="20"/>
                <w:lang w:val="es-CO"/>
              </w:rPr>
              <w:t>1</w:t>
            </w:r>
          </w:p>
        </w:tc>
      </w:tr>
      <w:tr w:rsidR="00D1672B" w:rsidRPr="002D6F59" w14:paraId="5BD76718" w14:textId="6E276843" w:rsidTr="00A17E8A">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2DBDB" w:themeFill="accent2" w:themeFillTint="33"/>
            <w:noWrap/>
            <w:hideMark/>
          </w:tcPr>
          <w:p w14:paraId="5009A0E7" w14:textId="77777777" w:rsidR="00D1672B" w:rsidRPr="00F57607" w:rsidRDefault="00D1672B" w:rsidP="00D1672B">
            <w:pPr>
              <w:spacing w:line="276" w:lineRule="auto"/>
              <w:jc w:val="center"/>
              <w:rPr>
                <w:rFonts w:ascii="Century Gothic" w:hAnsi="Century Gothic" w:cs="Arial"/>
                <w:sz w:val="20"/>
                <w:szCs w:val="20"/>
                <w:lang w:val="es-CO"/>
              </w:rPr>
            </w:pPr>
            <w:r w:rsidRPr="00F57607">
              <w:rPr>
                <w:rFonts w:ascii="Century Gothic" w:hAnsi="Century Gothic" w:cs="Arial"/>
                <w:sz w:val="20"/>
                <w:szCs w:val="20"/>
                <w:lang w:val="es-CO"/>
              </w:rPr>
              <w:t>TOTAL GENERAL</w:t>
            </w:r>
          </w:p>
        </w:tc>
        <w:tc>
          <w:tcPr>
            <w:tcW w:w="2268" w:type="dxa"/>
            <w:shd w:val="clear" w:color="auto" w:fill="F2DBDB" w:themeFill="accent2" w:themeFillTint="33"/>
            <w:noWrap/>
            <w:hideMark/>
          </w:tcPr>
          <w:p w14:paraId="1C6EA5B2" w14:textId="7ACBD510" w:rsidR="00D1672B" w:rsidRPr="00F57607"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0"/>
                <w:szCs w:val="20"/>
                <w:lang w:val="es-CO"/>
              </w:rPr>
            </w:pPr>
            <w:r w:rsidRPr="00F57607">
              <w:rPr>
                <w:rFonts w:ascii="Century Gothic" w:hAnsi="Century Gothic" w:cs="Arial"/>
                <w:b/>
                <w:sz w:val="20"/>
                <w:szCs w:val="20"/>
                <w:lang w:val="es-CO"/>
              </w:rPr>
              <w:t>4.510</w:t>
            </w:r>
          </w:p>
        </w:tc>
        <w:tc>
          <w:tcPr>
            <w:tcW w:w="2552" w:type="dxa"/>
            <w:shd w:val="clear" w:color="auto" w:fill="F2DBDB" w:themeFill="accent2" w:themeFillTint="33"/>
          </w:tcPr>
          <w:p w14:paraId="78D7D2D7" w14:textId="25CB6B20" w:rsidR="00D1672B" w:rsidRPr="00F57607" w:rsidRDefault="00D1672B" w:rsidP="00D1672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0"/>
                <w:szCs w:val="20"/>
                <w:lang w:val="es-CO"/>
              </w:rPr>
            </w:pPr>
            <w:r>
              <w:rPr>
                <w:rFonts w:ascii="Century Gothic" w:hAnsi="Century Gothic" w:cs="Arial"/>
                <w:b/>
                <w:sz w:val="20"/>
                <w:szCs w:val="20"/>
                <w:lang w:val="es-CO"/>
              </w:rPr>
              <w:t>699</w:t>
            </w:r>
          </w:p>
        </w:tc>
      </w:tr>
    </w:tbl>
    <w:p w14:paraId="008FBB6F" w14:textId="5ED02EDE" w:rsidR="00F57607" w:rsidRDefault="00F57607" w:rsidP="00024E8F">
      <w:pPr>
        <w:spacing w:line="276" w:lineRule="auto"/>
        <w:jc w:val="center"/>
        <w:rPr>
          <w:rFonts w:ascii="Century Gothic" w:hAnsi="Century Gothic" w:cs="Arial"/>
          <w:sz w:val="18"/>
          <w:szCs w:val="18"/>
          <w:lang w:val="es-CO"/>
        </w:rPr>
      </w:pPr>
      <w:r w:rsidRPr="002D6F59">
        <w:rPr>
          <w:rFonts w:ascii="Century Gothic" w:hAnsi="Century Gothic" w:cs="Arial"/>
          <w:sz w:val="18"/>
          <w:szCs w:val="18"/>
          <w:lang w:val="es-CO"/>
        </w:rPr>
        <w:t>Fuente: Dirección de Investigación</w:t>
      </w:r>
      <w:r w:rsidR="003D1772">
        <w:rPr>
          <w:rFonts w:ascii="Century Gothic" w:hAnsi="Century Gothic" w:cs="Arial"/>
          <w:sz w:val="18"/>
          <w:szCs w:val="18"/>
          <w:lang w:val="es-CO"/>
        </w:rPr>
        <w:t xml:space="preserve"> </w:t>
      </w:r>
      <w:r w:rsidRPr="002D6F59">
        <w:rPr>
          <w:rFonts w:ascii="Century Gothic" w:hAnsi="Century Gothic" w:cs="Arial"/>
          <w:sz w:val="18"/>
          <w:szCs w:val="18"/>
          <w:lang w:val="es-CO"/>
        </w:rPr>
        <w:t xml:space="preserve">Criminal e Interpol </w:t>
      </w:r>
      <w:r w:rsidR="003D1772">
        <w:rPr>
          <w:rFonts w:ascii="Century Gothic" w:hAnsi="Century Gothic" w:cs="Arial"/>
          <w:sz w:val="18"/>
          <w:szCs w:val="18"/>
          <w:lang w:val="es-CO"/>
        </w:rPr>
        <w:t xml:space="preserve"> </w:t>
      </w:r>
      <w:r w:rsidRPr="002D6F59">
        <w:rPr>
          <w:rFonts w:ascii="Century Gothic" w:hAnsi="Century Gothic" w:cs="Arial"/>
          <w:sz w:val="18"/>
          <w:szCs w:val="18"/>
          <w:lang w:val="es-CO"/>
        </w:rPr>
        <w:t>– Delitos Sexuales</w:t>
      </w:r>
    </w:p>
    <w:p w14:paraId="5D3E081A" w14:textId="26719824" w:rsidR="004B4D6E" w:rsidRDefault="004B4D6E" w:rsidP="00F57607">
      <w:pPr>
        <w:jc w:val="both"/>
        <w:rPr>
          <w:rFonts w:ascii="Century Gothic" w:hAnsi="Century Gothic" w:cs="Arial"/>
          <w:lang w:val="es-CO"/>
        </w:rPr>
      </w:pPr>
    </w:p>
    <w:p w14:paraId="2FC9BCDD" w14:textId="7195F2B9" w:rsidR="004B4D6E" w:rsidRPr="002D6F59"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De lo anterior, podemos concluir que las personas que ingresan al sistema penitenciario y carcelario por delitos sexuales va en aumento, de los cuales cerca de un 6.</w:t>
      </w:r>
      <w:r w:rsidR="00E46EC6">
        <w:rPr>
          <w:rFonts w:ascii="Century Gothic" w:hAnsi="Century Gothic" w:cs="Arial"/>
          <w:lang w:val="es-CO"/>
        </w:rPr>
        <w:t>5</w:t>
      </w:r>
      <w:r w:rsidRPr="002D6F59">
        <w:rPr>
          <w:rFonts w:ascii="Century Gothic" w:hAnsi="Century Gothic" w:cs="Arial"/>
          <w:lang w:val="es-CO"/>
        </w:rPr>
        <w:t>7% son reincidentes.  Es decir, según las cifras del INPEC, de forma general, los delitos sexuales tienen un alto índice de reincidencia. Pero, además, de esta reincidencia la mayor parte está representada por agresores de menores. Una de las formas en las cuales el proyecto acto legislativo pretende lograr una mayor protección de los menores está precisamente en evitar la reincidencia de los posibles agresores, especialmente de aquellos que constituyen un peligro exacerbado para la comunidad.</w:t>
      </w:r>
    </w:p>
    <w:p w14:paraId="695F47F1" w14:textId="77777777" w:rsidR="004B4D6E" w:rsidRPr="002D6F59" w:rsidRDefault="004B4D6E" w:rsidP="004B4D6E">
      <w:pPr>
        <w:jc w:val="both"/>
        <w:rPr>
          <w:rFonts w:ascii="Century Gothic" w:hAnsi="Century Gothic" w:cs="Arial"/>
          <w:lang w:val="es-CO"/>
        </w:rPr>
      </w:pPr>
    </w:p>
    <w:p w14:paraId="0757EAB4" w14:textId="77777777" w:rsidR="004B4D6E" w:rsidRPr="002D6F59" w:rsidRDefault="004B4D6E" w:rsidP="004B4D6E">
      <w:pPr>
        <w:spacing w:line="276" w:lineRule="auto"/>
        <w:jc w:val="both"/>
        <w:rPr>
          <w:rFonts w:ascii="Century Gothic" w:hAnsi="Century Gothic" w:cs="Arial"/>
          <w:lang w:val="es-CO"/>
        </w:rPr>
      </w:pPr>
      <w:r w:rsidRPr="002D6F59">
        <w:rPr>
          <w:rFonts w:ascii="Century Gothic" w:hAnsi="Century Gothic" w:cs="Arial"/>
          <w:lang w:val="es-CO"/>
        </w:rPr>
        <w:t>Lo enunciado se logra, en primer lugar, a través de lo anteriormente explicado sobre el fin de prevención general negativa de la pena, esto es, disuadir a los futuros agresores otra vez de un monto punitivo mayor para evitar la afectación de los bienes jurídicos de los menores. En segundo lugar, la cadena perpetua para estos delitos, si bien es excepcional, cuando se aplique, frente a los casos más graves, se está evitando que los agresores reincidan el delito no solo porque se lo está apartando por un tiempo de la sociedad, sino también porque el reintegro a la misma está condicionado a la verificación de su correcta resocialización. De esta forma, el proyecto dota de herramientas a la sociedad y, en especial, al sistema de justicia, parar disminuir la reincidencia en estos delitos.</w:t>
      </w:r>
    </w:p>
    <w:p w14:paraId="49463633" w14:textId="77777777" w:rsidR="00DC6CB3" w:rsidRPr="002D6F59" w:rsidRDefault="00DC6CB3" w:rsidP="00B17AB2">
      <w:pPr>
        <w:pStyle w:val="Prrafodelista"/>
        <w:spacing w:after="0"/>
        <w:ind w:left="0"/>
        <w:jc w:val="both"/>
        <w:rPr>
          <w:rFonts w:ascii="Century Gothic" w:hAnsi="Century Gothic" w:cs="Arial"/>
          <w:sz w:val="24"/>
          <w:szCs w:val="24"/>
        </w:rPr>
      </w:pPr>
    </w:p>
    <w:p w14:paraId="7F6CBA60" w14:textId="331752B9" w:rsidR="00814CB0" w:rsidRPr="009A77F8" w:rsidRDefault="00814CB0" w:rsidP="00C209CD">
      <w:pPr>
        <w:pStyle w:val="Prrafodelista"/>
        <w:numPr>
          <w:ilvl w:val="0"/>
          <w:numId w:val="25"/>
        </w:numPr>
        <w:spacing w:after="0"/>
        <w:ind w:left="720"/>
        <w:jc w:val="center"/>
        <w:rPr>
          <w:rFonts w:ascii="Century Gothic" w:hAnsi="Century Gothic" w:cs="Arial"/>
          <w:sz w:val="24"/>
          <w:szCs w:val="24"/>
        </w:rPr>
      </w:pPr>
      <w:r w:rsidRPr="002D6F59">
        <w:rPr>
          <w:rFonts w:ascii="Century Gothic" w:hAnsi="Century Gothic" w:cs="Arial"/>
          <w:b/>
          <w:sz w:val="24"/>
          <w:szCs w:val="24"/>
        </w:rPr>
        <w:lastRenderedPageBreak/>
        <w:t>UNA MIRADA DESDE LO JURÍDICO CONSTITUCIONAL DE LA CADENA PERPETUA EXCEPCIONAL</w:t>
      </w:r>
    </w:p>
    <w:p w14:paraId="20CD3FFA" w14:textId="77777777" w:rsidR="009A77F8" w:rsidRPr="00C209CD" w:rsidRDefault="009A77F8" w:rsidP="009A77F8">
      <w:pPr>
        <w:pStyle w:val="Prrafodelista"/>
        <w:spacing w:after="0"/>
        <w:rPr>
          <w:rFonts w:ascii="Century Gothic" w:hAnsi="Century Gothic" w:cs="Arial"/>
          <w:sz w:val="24"/>
          <w:szCs w:val="24"/>
        </w:rPr>
      </w:pPr>
    </w:p>
    <w:p w14:paraId="2C167F76" w14:textId="12F86664" w:rsidR="00814CB0" w:rsidRPr="002D6F59" w:rsidRDefault="00814CB0" w:rsidP="00B17AB2">
      <w:pPr>
        <w:pStyle w:val="Prrafodelista"/>
        <w:numPr>
          <w:ilvl w:val="0"/>
          <w:numId w:val="46"/>
        </w:numPr>
        <w:spacing w:after="240"/>
        <w:jc w:val="both"/>
        <w:rPr>
          <w:rFonts w:ascii="Century Gothic" w:hAnsi="Century Gothic" w:cs="Arial"/>
          <w:b/>
        </w:rPr>
      </w:pPr>
      <w:r w:rsidRPr="002D6F59">
        <w:rPr>
          <w:rFonts w:ascii="Century Gothic" w:hAnsi="Century Gothic" w:cs="Arial"/>
          <w:b/>
        </w:rPr>
        <w:t>LA DIMENSIÓN DE LA DIGNIDAD HUMANA</w:t>
      </w:r>
      <w:r w:rsidR="00F60C06" w:rsidRPr="002D6F59">
        <w:rPr>
          <w:rFonts w:ascii="Century Gothic" w:hAnsi="Century Gothic" w:cs="Arial"/>
          <w:b/>
        </w:rPr>
        <w:t>.</w:t>
      </w:r>
    </w:p>
    <w:p w14:paraId="042D5BB4"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Desde el artículo 13 de la Constitución Nacional se consagra el derecho a la igualdad, que parte de la regla de justicia de tratar a los iguales de modo igual y a los desiguales de modo desigual  y que obliga al Estado en los términos dictaminados a dar especial protección o protección reforzada a las personas que presentan mayor vulnerabilidad en el contexto social, siendo por ende los niños, niñas y adolescentes un grupo o colectivo de especial vulnerabilidad en cuanto no cuentan con un desarrollo de su personalidad solido que les permita esquemas de autoprotección y que tienen el derecho a desarrollar su dignidad y las capacidades para desplegar su autonomía de forma libre y garantizada, por lo cual se hace necesario desde el Estado generar condiciones y acciones diferenciadas desde la igualdad para generar esas garantías de desarrollo hasta alcanzar su madurez adulta.</w:t>
      </w:r>
    </w:p>
    <w:p w14:paraId="650689AB" w14:textId="77777777" w:rsidR="002442EA" w:rsidRPr="002D6F59" w:rsidRDefault="002442EA" w:rsidP="00FF562B">
      <w:pPr>
        <w:jc w:val="both"/>
        <w:rPr>
          <w:rFonts w:ascii="Century Gothic" w:hAnsi="Century Gothic" w:cs="Arial"/>
        </w:rPr>
      </w:pPr>
    </w:p>
    <w:p w14:paraId="46DC506B" w14:textId="51F998BC"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Cuando a un niño, niña o adolescente se le cercena el derecho digno de desarrollar su personalidad y se le altera su línea de vida con un hecho violento afecta integralmente todos los demás derechos fundamentales al afectar su esfera física, mental, emocional y social.</w:t>
      </w:r>
    </w:p>
    <w:p w14:paraId="6F654FBE" w14:textId="77777777" w:rsidR="00067D87" w:rsidRPr="002D6F59" w:rsidRDefault="00067D87" w:rsidP="00067D87">
      <w:pPr>
        <w:jc w:val="both"/>
        <w:rPr>
          <w:rFonts w:ascii="Century Gothic" w:hAnsi="Century Gothic" w:cs="Arial"/>
        </w:rPr>
      </w:pPr>
    </w:p>
    <w:p w14:paraId="0438CD58"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Por ello se hace necesario y exigible que desde una política criminal y desde la penología se analice la incidencia de la pena desde la víctima y su condición dentro de la sociedad que permita dirigir y desplegar la función del Estado en la protección y garantía debida que establece el artículo 2º Constitucional.</w:t>
      </w:r>
    </w:p>
    <w:p w14:paraId="0D05F6E9" w14:textId="77777777" w:rsidR="002442EA" w:rsidRPr="002D6F59" w:rsidRDefault="002442EA" w:rsidP="00067D87">
      <w:pPr>
        <w:jc w:val="both"/>
        <w:rPr>
          <w:rFonts w:ascii="Century Gothic" w:hAnsi="Century Gothic" w:cs="Arial"/>
        </w:rPr>
      </w:pPr>
    </w:p>
    <w:p w14:paraId="122A4EF6" w14:textId="77777777"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Definiendo la pena como “la limitación de los derechos personales a un sujeto impuesta por el Estado como consecuencia de un proceso adelantado por el ente competente, cuando es declarado responsable de una conducta definida de manera inequívoca por las normas, que lesiona o pone en peligro sin justa causa, el bien jurídico tutelado”. (Galvis, M. 2003. p. 17).</w:t>
      </w:r>
    </w:p>
    <w:p w14:paraId="38DDFA8C" w14:textId="77777777" w:rsidR="002442EA" w:rsidRPr="002D6F59" w:rsidRDefault="002442EA" w:rsidP="00067D87">
      <w:pPr>
        <w:jc w:val="both"/>
        <w:rPr>
          <w:rFonts w:ascii="Century Gothic" w:hAnsi="Century Gothic" w:cs="Arial"/>
        </w:rPr>
      </w:pPr>
    </w:p>
    <w:p w14:paraId="7C23EA5C" w14:textId="5FD2F3EC"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Es necesario preguntar que implica la limitación de derechos personales a un delincuente respecto de su dignidad humana, en su significado de igual dignidad para todo ser human</w:t>
      </w:r>
      <w:r w:rsidR="00F424D8">
        <w:rPr>
          <w:rFonts w:ascii="Century Gothic" w:hAnsi="Century Gothic" w:cs="Arial"/>
        </w:rPr>
        <w:t>o</w:t>
      </w:r>
      <w:r w:rsidRPr="002D6F59">
        <w:rPr>
          <w:rFonts w:ascii="Century Gothic" w:hAnsi="Century Gothic" w:cs="Arial"/>
        </w:rPr>
        <w:t xml:space="preserve">, cuando en los términos de la Corte </w:t>
      </w:r>
      <w:r w:rsidRPr="002D6F59">
        <w:rPr>
          <w:rFonts w:ascii="Century Gothic" w:hAnsi="Century Gothic" w:cs="Arial"/>
        </w:rPr>
        <w:lastRenderedPageBreak/>
        <w:t xml:space="preserve">Constitucional se define como una dimensión de la dignidad humana la autonomía y como consecuencia de su despliegue el derecho de cada individuo de definir su plan de vida, y ese plan de vida que en su esfera de libertad define autónomamente un individuo no es compatible con un orden jurídico, político y social impuesto constitucionalmente en un Estado de Derecho democrático e incluyente. Pues si bien </w:t>
      </w:r>
      <w:r w:rsidR="007E0087" w:rsidRPr="002D6F59">
        <w:rPr>
          <w:rFonts w:ascii="Century Gothic" w:hAnsi="Century Gothic" w:cs="Arial"/>
        </w:rPr>
        <w:t>la dignidad humana tiene</w:t>
      </w:r>
      <w:r w:rsidRPr="002D6F59">
        <w:rPr>
          <w:rFonts w:ascii="Century Gothic" w:hAnsi="Century Gothic" w:cs="Arial"/>
        </w:rPr>
        <w:t xml:space="preserve"> garantías y el deber de respeto aún en los casos de un criminal, esta también resulta menguada y limitada cuando el individuo trasgrede el orden justo del otro y aún más cuando el otro es una persona en estado de vulnerabilidad y debilidad como lo son los niños, niñas y adolescentes. </w:t>
      </w:r>
    </w:p>
    <w:p w14:paraId="36E1A5A6" w14:textId="77777777" w:rsidR="002442EA" w:rsidRPr="002D6F59" w:rsidRDefault="002442EA" w:rsidP="00067D87">
      <w:pPr>
        <w:jc w:val="both"/>
        <w:rPr>
          <w:rFonts w:ascii="Century Gothic" w:hAnsi="Century Gothic" w:cs="Arial"/>
        </w:rPr>
      </w:pPr>
    </w:p>
    <w:p w14:paraId="08E2D811" w14:textId="77173A5E"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 xml:space="preserve">La respuesta en lo razonable debe abocar porque efectivamente la dignidad del delincuente se mengua en cuanto pierde capacidad de ejercer su autonomía y el poder coercitivo del Estado limita entre ellos el derecho a la libertad, bajo un fin de protección de intereses y bienes jurídicamente tutelados. Ello no significa que el individuo objeto de la imposición de una sanción penal pierda su capacidad de ser sujeto de derechos y por ende su dignidad no se mengua respeto a tener derecho a un juicio justo, en todo y de manera estricta apegado al debido proceso y con plenas garantías, a no ser objeto de torturas o tratos crueles e inhumanos, </w:t>
      </w:r>
      <w:r w:rsidR="008E64C8">
        <w:rPr>
          <w:rFonts w:ascii="Century Gothic" w:hAnsi="Century Gothic" w:cs="Arial"/>
        </w:rPr>
        <w:t>etc</w:t>
      </w:r>
      <w:r w:rsidRPr="002D6F59">
        <w:rPr>
          <w:rFonts w:ascii="Century Gothic" w:hAnsi="Century Gothic" w:cs="Arial"/>
        </w:rPr>
        <w:t xml:space="preserve">, pero siempre conservando el Estado y la sociedad transgredida la capacidad de limitar esferas de sus derechos y en específico de su libertad. </w:t>
      </w:r>
    </w:p>
    <w:p w14:paraId="099CB483" w14:textId="77777777" w:rsidR="002442EA" w:rsidRPr="002D6F59" w:rsidRDefault="002442EA" w:rsidP="00067D87">
      <w:pPr>
        <w:jc w:val="both"/>
        <w:rPr>
          <w:rFonts w:ascii="Century Gothic" w:hAnsi="Century Gothic" w:cs="Arial"/>
        </w:rPr>
      </w:pPr>
    </w:p>
    <w:p w14:paraId="5BC5CBF2" w14:textId="30560431" w:rsidR="002442EA" w:rsidRDefault="002442EA" w:rsidP="00B17AB2">
      <w:pPr>
        <w:spacing w:line="276" w:lineRule="auto"/>
        <w:jc w:val="both"/>
        <w:rPr>
          <w:rFonts w:ascii="Century Gothic" w:hAnsi="Century Gothic" w:cs="Arial"/>
        </w:rPr>
      </w:pPr>
      <w:r w:rsidRPr="002D6F59">
        <w:rPr>
          <w:rFonts w:ascii="Century Gothic" w:hAnsi="Century Gothic" w:cs="Arial"/>
        </w:rPr>
        <w:t>Por ello no resulta claro la posición de algunos de los detractores de la cadena perpetua en cuanto se da una relevancia protagónica y única a la dignidad del condenado, que al menos requeriría un test de igualdad frente a dos derechos confrontados entre victimario y victima que ha sido sometida a una humillación e indignación que lo abarca no solo como individuo sino como miembro de un colectivo ya sea la familia, o las esferas que inciden su desarrollo.</w:t>
      </w:r>
    </w:p>
    <w:p w14:paraId="6EEB92E8" w14:textId="77777777" w:rsidR="00FF562B" w:rsidRPr="002D6F59" w:rsidRDefault="00FF562B" w:rsidP="00FF562B">
      <w:pPr>
        <w:jc w:val="both"/>
        <w:rPr>
          <w:rFonts w:ascii="Century Gothic" w:hAnsi="Century Gothic" w:cs="Arial"/>
        </w:rPr>
      </w:pPr>
    </w:p>
    <w:p w14:paraId="7AB1E13A" w14:textId="20415423" w:rsidR="00FF562B" w:rsidRDefault="002442EA" w:rsidP="00B17AB2">
      <w:pPr>
        <w:spacing w:line="276" w:lineRule="auto"/>
        <w:jc w:val="both"/>
        <w:rPr>
          <w:rFonts w:ascii="Century Gothic" w:hAnsi="Century Gothic" w:cs="Arial"/>
        </w:rPr>
      </w:pPr>
      <w:r w:rsidRPr="002D6F59">
        <w:rPr>
          <w:rFonts w:ascii="Century Gothic" w:hAnsi="Century Gothic" w:cs="Arial"/>
        </w:rPr>
        <w:t>Cuando se afirma que la prisión perpetua “infringe la columna vertebral del modelo de Estado: “</w:t>
      </w:r>
      <w:r w:rsidRPr="002D6F59">
        <w:rPr>
          <w:rFonts w:ascii="Century Gothic" w:hAnsi="Century Gothic" w:cs="Arial"/>
          <w:i/>
        </w:rPr>
        <w:t>la dignidad de la persona.”,</w:t>
      </w:r>
      <w:r w:rsidRPr="002D6F59">
        <w:rPr>
          <w:rFonts w:ascii="Century Gothic" w:hAnsi="Century Gothic" w:cs="Arial"/>
        </w:rPr>
        <w:t xml:space="preserve"> dignidad que prohíbe la cosificación o instrumentalización del ser humano con la inocuización del delincuente “</w:t>
      </w:r>
      <w:r w:rsidRPr="002D6F59">
        <w:rPr>
          <w:rFonts w:ascii="Century Gothic" w:hAnsi="Century Gothic" w:cs="Arial"/>
          <w:i/>
        </w:rPr>
        <w:t xml:space="preserve">para dar un mensaje social de exclusión” </w:t>
      </w:r>
      <w:r w:rsidRPr="002D6F59">
        <w:rPr>
          <w:rFonts w:ascii="Century Gothic" w:hAnsi="Century Gothic" w:cs="Arial"/>
        </w:rPr>
        <w:t xml:space="preserve">, en donde se hace necesario reflexionar sobre la manera como los teóricos le dan un contenido a una visión individual y para sostener una causa particular a la dignidad humana, desconociendo no sólo que bajo esa mirada el sólo derecho que se </w:t>
      </w:r>
      <w:r w:rsidRPr="002D6F59">
        <w:rPr>
          <w:rFonts w:ascii="Century Gothic" w:hAnsi="Century Gothic" w:cs="Arial"/>
        </w:rPr>
        <w:lastRenderedPageBreak/>
        <w:t xml:space="preserve">le advierte al Estado de limitar el derecho a la libertad del delincuente, entraría en la misma esfera. </w:t>
      </w:r>
    </w:p>
    <w:p w14:paraId="054576CB" w14:textId="77777777" w:rsidR="00F424D8" w:rsidRDefault="00F424D8" w:rsidP="00F424D8">
      <w:pPr>
        <w:jc w:val="both"/>
        <w:rPr>
          <w:rFonts w:ascii="Century Gothic" w:hAnsi="Century Gothic" w:cs="Arial"/>
        </w:rPr>
      </w:pPr>
    </w:p>
    <w:p w14:paraId="1852A147" w14:textId="5FE8A294" w:rsidR="002442EA" w:rsidRPr="002D6F59" w:rsidRDefault="002442EA" w:rsidP="00B17AB2">
      <w:pPr>
        <w:spacing w:line="276" w:lineRule="auto"/>
        <w:jc w:val="both"/>
        <w:rPr>
          <w:rFonts w:ascii="Century Gothic" w:hAnsi="Century Gothic" w:cs="Arial"/>
        </w:rPr>
      </w:pPr>
      <w:r w:rsidRPr="002D6F59">
        <w:rPr>
          <w:rFonts w:ascii="Century Gothic" w:hAnsi="Century Gothic" w:cs="Arial"/>
        </w:rPr>
        <w:t>Tratar de negar funciones de la pena y de la política criminal, para reducirla a que su único fin compatible con la columna vertebral de las bases estructurantes del Estado Colombiano, es la resocialización de la pena, es negar nuestro peso cultural histórico y negar que como sociedad hemos tenido que bogar en suplica por la necesidad de protección de sujetos que han acorralado a la sociedad y que en muchos apartes de nuestra codificación penal llamamos “</w:t>
      </w:r>
      <w:r w:rsidRPr="002D6F59">
        <w:rPr>
          <w:rFonts w:ascii="Century Gothic" w:hAnsi="Century Gothic" w:cs="Arial"/>
          <w:i/>
        </w:rPr>
        <w:t>sujetos de especial peligrosidad</w:t>
      </w:r>
      <w:r w:rsidRPr="002D6F59">
        <w:rPr>
          <w:rFonts w:ascii="Century Gothic" w:hAnsi="Century Gothic" w:cs="Arial"/>
        </w:rPr>
        <w:t>”, y frente a los cuales la sociedad reclaman su inocuización como única forma de garantizar sus derechos mínimos a preservar su vida, crear falacias argumentativas es quizás lo único que no merecen los niños, niñas y adolescentes que esperan se garanticen sus derechos frente a sujetos de especial peligrosidad que atentan y acechan su posibilidad de desarrollar su individualidad y su plan de vida de manera libre.</w:t>
      </w:r>
    </w:p>
    <w:p w14:paraId="0355B72C" w14:textId="77777777" w:rsidR="00141E7A" w:rsidRPr="002D6F59" w:rsidRDefault="00141E7A" w:rsidP="00067D87">
      <w:pPr>
        <w:jc w:val="both"/>
        <w:rPr>
          <w:rFonts w:ascii="Century Gothic" w:hAnsi="Century Gothic" w:cs="Arial"/>
          <w:b/>
        </w:rPr>
      </w:pPr>
    </w:p>
    <w:p w14:paraId="53B3A4AB" w14:textId="7B9600CD" w:rsidR="002442EA" w:rsidRPr="002D6F59" w:rsidRDefault="00141E7A" w:rsidP="00B17AB2">
      <w:pPr>
        <w:pStyle w:val="Prrafodelista"/>
        <w:numPr>
          <w:ilvl w:val="0"/>
          <w:numId w:val="46"/>
        </w:numPr>
        <w:spacing w:after="240"/>
        <w:jc w:val="both"/>
        <w:rPr>
          <w:rFonts w:ascii="Century Gothic" w:hAnsi="Century Gothic" w:cs="Arial"/>
          <w:b/>
        </w:rPr>
      </w:pPr>
      <w:r w:rsidRPr="002D6F59">
        <w:rPr>
          <w:rFonts w:ascii="Century Gothic" w:hAnsi="Century Gothic" w:cs="Arial"/>
          <w:b/>
        </w:rPr>
        <w:t>LA COMPETENCIA DEL CONSTITUYENTE SECUNDARIO PARA REFORMAR EL ARTÍCULO 34 DE LA CONSTITUCIÓN.</w:t>
      </w:r>
    </w:p>
    <w:p w14:paraId="3501EF3E" w14:textId="77777777" w:rsidR="002442EA" w:rsidRPr="002D6F59" w:rsidRDefault="002442EA" w:rsidP="00B17AB2">
      <w:pPr>
        <w:spacing w:line="276" w:lineRule="auto"/>
        <w:jc w:val="both"/>
        <w:rPr>
          <w:rFonts w:ascii="Century Gothic" w:hAnsi="Century Gothic" w:cs="Arial"/>
          <w:color w:val="2D2D2D"/>
          <w:shd w:val="clear" w:color="auto" w:fill="FFFFFF"/>
        </w:rPr>
      </w:pPr>
      <w:r w:rsidRPr="002D6F59">
        <w:rPr>
          <w:rFonts w:ascii="Century Gothic" w:hAnsi="Century Gothic" w:cs="Arial"/>
        </w:rPr>
        <w:t xml:space="preserve">Un tema de que requiere abocarse y que se encuentra inserto en toda reforma constitucional es </w:t>
      </w:r>
      <w:r w:rsidRPr="002D6F59">
        <w:rPr>
          <w:rFonts w:ascii="Century Gothic" w:hAnsi="Century Gothic" w:cs="Arial"/>
          <w:color w:val="2D2D2D"/>
          <w:shd w:val="clear" w:color="auto" w:fill="FFFFFF"/>
        </w:rPr>
        <w:t>determinar si el poder de reforma constitucional excede o no el ámbito de competencia del legislador como constituyente derivado.</w:t>
      </w:r>
    </w:p>
    <w:p w14:paraId="02E8955B" w14:textId="77777777" w:rsidR="00141E7A" w:rsidRPr="002D6F59" w:rsidRDefault="00141E7A" w:rsidP="00B17AB2">
      <w:pPr>
        <w:spacing w:line="276" w:lineRule="auto"/>
        <w:jc w:val="both"/>
        <w:rPr>
          <w:rFonts w:ascii="Century Gothic" w:hAnsi="Century Gothic" w:cs="Arial"/>
          <w:color w:val="2D2D2D"/>
          <w:shd w:val="clear" w:color="auto" w:fill="FFFFFF"/>
        </w:rPr>
      </w:pPr>
    </w:p>
    <w:p w14:paraId="330CCAF1" w14:textId="3DEED23F" w:rsidR="007E0087" w:rsidRDefault="002442EA" w:rsidP="002752F7">
      <w:pPr>
        <w:spacing w:line="276" w:lineRule="auto"/>
        <w:jc w:val="both"/>
        <w:rPr>
          <w:rFonts w:ascii="Century Gothic" w:hAnsi="Century Gothic" w:cs="Arial"/>
          <w:i/>
          <w:iCs/>
          <w:color w:val="2D2D2D"/>
          <w:bdr w:val="none" w:sz="0" w:space="0" w:color="auto" w:frame="1"/>
        </w:rPr>
      </w:pPr>
      <w:r w:rsidRPr="002D6F59">
        <w:rPr>
          <w:rFonts w:ascii="Century Gothic" w:hAnsi="Century Gothic" w:cs="Arial"/>
          <w:color w:val="2D2D2D"/>
          <w:shd w:val="clear" w:color="auto" w:fill="FFFFFF"/>
        </w:rPr>
        <w:t>En ese orden es necesario partir de la reflexión que la Corte Constitucional expone en la sentencia C-1056 de 2012: “</w:t>
      </w:r>
      <w:r w:rsidRPr="002D6F59">
        <w:rPr>
          <w:rFonts w:ascii="Century Gothic" w:hAnsi="Century Gothic" w:cs="Arial"/>
          <w:i/>
          <w:iCs/>
          <w:color w:val="2D2D2D"/>
          <w:bdr w:val="none" w:sz="0" w:space="0" w:color="auto" w:frame="1"/>
        </w:rPr>
        <w:t xml:space="preserve">El control constitucional del poder de reforma o de revisión comporta dos graves peligros: la petrificación de la Constitución y el subjetivismo del juez constitucional. El primero consiste en que la misión del juez constitucional de defender la Constitución termine por impedir que ésta sea reformada inclusive en temas importantes y significativos para la vida cambiante de un país. Esto sucede cuando las reformas constitucionales - debido al impacto que tiene el ejercicio cotidiano de la función de guardar la integridad del texto original sobre el juez constitucional – son percibidas como atentados contra el diseño original, en lugar de ser vistos como adaptaciones o alteraciones que buscan asegurar la continuidad, con modificaciones, de la Constitución en un contexto cambiante. El segundo peligro radica en que la indeterminación de los principios constitucionales más básicos puede conducir, ante un cambio importante de la Constitución, a que </w:t>
      </w:r>
      <w:r w:rsidRPr="002D6F59">
        <w:rPr>
          <w:rFonts w:ascii="Century Gothic" w:hAnsi="Century Gothic" w:cs="Arial"/>
          <w:i/>
          <w:iCs/>
          <w:color w:val="2D2D2D"/>
          <w:bdr w:val="none" w:sz="0" w:space="0" w:color="auto" w:frame="1"/>
        </w:rPr>
        <w:lastRenderedPageBreak/>
        <w:t xml:space="preserve">el juez constitucional aplique sus propias concepciones y </w:t>
      </w:r>
      <w:r w:rsidR="007E0087" w:rsidRPr="002D6F59">
        <w:rPr>
          <w:rFonts w:ascii="Century Gothic" w:hAnsi="Century Gothic" w:cs="Arial"/>
          <w:i/>
          <w:iCs/>
          <w:color w:val="2D2D2D"/>
          <w:bdr w:val="none" w:sz="0" w:space="0" w:color="auto" w:frame="1"/>
        </w:rPr>
        <w:t>les</w:t>
      </w:r>
      <w:r w:rsidRPr="002D6F59">
        <w:rPr>
          <w:rFonts w:ascii="Century Gothic" w:hAnsi="Century Gothic" w:cs="Arial"/>
          <w:i/>
          <w:iCs/>
          <w:color w:val="2D2D2D"/>
          <w:bdr w:val="none" w:sz="0" w:space="0" w:color="auto" w:frame="1"/>
        </w:rPr>
        <w:t xml:space="preserve"> reste valor a otras ideas, también legítimas, que no son opuestas al dis</w:t>
      </w:r>
      <w:r w:rsidR="007E0087">
        <w:rPr>
          <w:rFonts w:ascii="Century Gothic" w:hAnsi="Century Gothic" w:cs="Arial"/>
          <w:i/>
          <w:iCs/>
          <w:color w:val="2D2D2D"/>
          <w:bdr w:val="none" w:sz="0" w:space="0" w:color="auto" w:frame="1"/>
        </w:rPr>
        <w:t>eño original, así lo reformen.”</w:t>
      </w:r>
    </w:p>
    <w:p w14:paraId="0E04885E" w14:textId="77777777" w:rsidR="00204FEF" w:rsidRPr="002D6F59" w:rsidRDefault="00204FEF" w:rsidP="002752F7">
      <w:pPr>
        <w:spacing w:line="276" w:lineRule="auto"/>
        <w:jc w:val="both"/>
        <w:rPr>
          <w:rFonts w:ascii="Century Gothic" w:hAnsi="Century Gothic" w:cs="Arial"/>
          <w:i/>
          <w:iCs/>
          <w:color w:val="2D2D2D"/>
          <w:bdr w:val="none" w:sz="0" w:space="0" w:color="auto" w:frame="1"/>
        </w:rPr>
      </w:pPr>
    </w:p>
    <w:p w14:paraId="213C11F2" w14:textId="77777777" w:rsidR="002442EA" w:rsidRPr="002D6F59" w:rsidRDefault="002442EA" w:rsidP="00B17AB2">
      <w:pPr>
        <w:spacing w:line="276" w:lineRule="auto"/>
        <w:jc w:val="both"/>
        <w:rPr>
          <w:rFonts w:ascii="Century Gothic" w:hAnsi="Century Gothic" w:cs="Arial"/>
          <w:iCs/>
          <w:color w:val="2D2D2D"/>
          <w:bdr w:val="none" w:sz="0" w:space="0" w:color="auto" w:frame="1"/>
        </w:rPr>
      </w:pPr>
      <w:r w:rsidRPr="002D6F59">
        <w:rPr>
          <w:rFonts w:ascii="Century Gothic" w:hAnsi="Century Gothic" w:cs="Arial"/>
          <w:iCs/>
          <w:color w:val="2D2D2D"/>
          <w:bdr w:val="none" w:sz="0" w:space="0" w:color="auto" w:frame="1"/>
        </w:rPr>
        <w:t>Reflexión que nos lleva a exponer que la reforma al artículo 34 de la Constitución Nacional, implica una reforma requerida y necesaria ante situaciones sociales que requieren movilizar el derecho para albergar dentro de la Constitución un esquema de protección reforzada de la vida y dignidad de los niños, niñas y adolescentes en el deber del Estado de generar garantías en su desarrollo libre, autónomo y no permitir que sean vulnerados de manera abrupta en sus derechos cercenando su inocencia y sus planes de vida a través de la construcción de sus capacidades como parámetro mínimo que en su estado de vulnerabilidad se le exige a la sociedad que los identificas y al Estado que los protege y garantiza la posibilidad de autodeterminarse como ciudadanos al asumir su estado adulto.</w:t>
      </w:r>
    </w:p>
    <w:p w14:paraId="25DFF00C" w14:textId="77777777" w:rsidR="00657CE7" w:rsidRPr="002D6F59" w:rsidRDefault="00657CE7" w:rsidP="00067D87">
      <w:pPr>
        <w:jc w:val="both"/>
        <w:rPr>
          <w:rFonts w:ascii="Century Gothic" w:hAnsi="Century Gothic" w:cs="Arial"/>
          <w:iCs/>
          <w:color w:val="2D2D2D"/>
          <w:bdr w:val="none" w:sz="0" w:space="0" w:color="auto" w:frame="1"/>
        </w:rPr>
      </w:pPr>
    </w:p>
    <w:p w14:paraId="54463F21" w14:textId="77777777" w:rsidR="00657CE7" w:rsidRPr="002D6F59" w:rsidRDefault="00657CE7" w:rsidP="00B17AB2">
      <w:pPr>
        <w:spacing w:line="276" w:lineRule="auto"/>
        <w:jc w:val="both"/>
        <w:rPr>
          <w:rFonts w:ascii="Century Gothic" w:hAnsi="Century Gothic" w:cs="Arial"/>
          <w:i/>
          <w:shd w:val="clear" w:color="auto" w:fill="FFFFFF"/>
        </w:rPr>
      </w:pPr>
      <w:r w:rsidRPr="002D6F59">
        <w:rPr>
          <w:rFonts w:ascii="Century Gothic" w:hAnsi="Century Gothic" w:cs="Arial"/>
          <w:iCs/>
          <w:bdr w:val="none" w:sz="0" w:space="0" w:color="auto" w:frame="1"/>
        </w:rPr>
        <w:t>En ese orden teniendo en cuenta que la sustitución de la Constitución parte de la concepción de que el legislador como constituyente secundario carece de la competencia para sustituir la constitución, cuando a través de una reforma constitucional se irrumpen los principios, valores o elementos esenciales definitorios de la arquitectura constitucional y tomando como parámetro los enumerados en la sentencia C-249 de 2012, pero reconociendo que progresivamente pueden identificarse otros, se tienen:  “</w:t>
      </w:r>
      <w:r w:rsidRPr="002D6F59">
        <w:rPr>
          <w:rFonts w:ascii="Century Gothic" w:hAnsi="Century Gothic" w:cs="Arial"/>
          <w:i/>
          <w:shd w:val="clear" w:color="auto" w:fill="FFFFFF"/>
        </w:rPr>
        <w:t xml:space="preserve">el principio democrático y el de separación de poderes, la carrera administrativa y el mérito como principal criterio de acceso a los cargos públicos, el principio de igualdad, el bicameralismo como criterio orientador de la configuración del órgano legislativo, y finalmente el principio de alternación en el ejercicio del poder público, y el sistema de pesos y contrapesos, todos estos últimos en cuanto expresiones o manifestaciones concretas del principio democrático, que según antes se indicó, tiene en sí mismo idéntica connotación.”. </w:t>
      </w:r>
    </w:p>
    <w:p w14:paraId="25F0C2FC" w14:textId="77777777" w:rsidR="00657CE7" w:rsidRPr="002D6F59" w:rsidRDefault="00657CE7" w:rsidP="00067D87">
      <w:pPr>
        <w:jc w:val="both"/>
        <w:rPr>
          <w:rFonts w:ascii="Century Gothic" w:hAnsi="Century Gothic" w:cs="Arial"/>
          <w:i/>
          <w:shd w:val="clear" w:color="auto" w:fill="FFFFFF"/>
        </w:rPr>
      </w:pPr>
    </w:p>
    <w:p w14:paraId="207509E7"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A estos elementos esenciales pueden agregarse: la independencia judicial, la supremacía de la Constitución, los privilegios injustificados y el principio de igualdad, la primacía de los derechos inalienables, la prevalencia de los derechos de los niños, la prevalencia del interés general, la justicia y el bien común y la obligación del Estado de protección y garantía de los derechos fundamentales.</w:t>
      </w:r>
    </w:p>
    <w:p w14:paraId="4F5A1FC5" w14:textId="77777777" w:rsidR="00F60C06" w:rsidRPr="002D6F59" w:rsidRDefault="00F60C06" w:rsidP="00067D87">
      <w:pPr>
        <w:jc w:val="both"/>
        <w:rPr>
          <w:rFonts w:ascii="Century Gothic" w:hAnsi="Century Gothic" w:cs="Arial"/>
          <w:shd w:val="clear" w:color="auto" w:fill="FFFFFF"/>
        </w:rPr>
      </w:pPr>
    </w:p>
    <w:p w14:paraId="450999EA"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lastRenderedPageBreak/>
        <w:t>De estos valores y principios estructurantes del Estado de derecho en el marco constitucional constituyen una razón a la reforma constitucional del artículo 34 que plantea el proyecto de acto legislativo el principio de la exigencia al Estado de protección de la vida y demás derechos y libertades, que frente a los niños, niñas y adolescentes se encuentra reforzada por la aplicación del principio de igualdad del artículo 13 de la Constitución bajo la regla de justicia que obliga a adoptar una política o acción diferencial frente a un colectivo especialmente vulnerable, y en el artículo 44 que da a los derechos de los prevalencia sobre los demás, con lo cual constituyen un valor supremo de la sociedad que requieren que la protección de sus derechos se vea robustecida a través de los máximos esquemas posibles necesarios que les permitan desarrollar su personalidad de manera libre y exenta de peligros que nos los mancillen y humillen en su condición humana en desarrollo:</w:t>
      </w:r>
    </w:p>
    <w:p w14:paraId="1C628C4A" w14:textId="77777777" w:rsidR="00657CE7" w:rsidRPr="002D6F59" w:rsidRDefault="00657CE7" w:rsidP="00067D87">
      <w:pPr>
        <w:jc w:val="both"/>
        <w:rPr>
          <w:rFonts w:ascii="Century Gothic" w:hAnsi="Century Gothic" w:cs="Arial"/>
          <w:shd w:val="clear" w:color="auto" w:fill="FFFFFF"/>
        </w:rPr>
      </w:pPr>
    </w:p>
    <w:p w14:paraId="0BACA40A" w14:textId="77777777" w:rsidR="00657CE7" w:rsidRPr="002D6F59"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Si bien principios y derechos como la libertad y la igualdad no son absolutos, no parece razonable tener como limitantes al ejercicio de esos derechos por parte de los niños, niñas y adolescentes, limites externos que los cercenen, siendo obligatoria para el Estado, lo sociedad y la familia remover los obstáculos que no les permitan desarrollar su individualidad y autonomía por lo cual las medidas que se adopten para su protección mediante todos los recursos posibles.</w:t>
      </w:r>
    </w:p>
    <w:p w14:paraId="791DCD1A" w14:textId="77777777" w:rsidR="00657CE7" w:rsidRPr="002D6F59" w:rsidRDefault="00657CE7" w:rsidP="00067D87">
      <w:pPr>
        <w:jc w:val="both"/>
        <w:rPr>
          <w:rFonts w:ascii="Century Gothic" w:hAnsi="Century Gothic" w:cs="Arial"/>
          <w:shd w:val="clear" w:color="auto" w:fill="FFFFFF"/>
        </w:rPr>
      </w:pPr>
    </w:p>
    <w:p w14:paraId="0943B5ED" w14:textId="4540A68F" w:rsidR="00C704FE" w:rsidRDefault="00657CE7" w:rsidP="00B17AB2">
      <w:pPr>
        <w:spacing w:line="276" w:lineRule="auto"/>
        <w:jc w:val="both"/>
        <w:rPr>
          <w:rFonts w:ascii="Century Gothic" w:hAnsi="Century Gothic" w:cs="Arial"/>
          <w:shd w:val="clear" w:color="auto" w:fill="FFFFFF"/>
        </w:rPr>
      </w:pPr>
      <w:r w:rsidRPr="002D6F59">
        <w:rPr>
          <w:rFonts w:ascii="Century Gothic" w:hAnsi="Century Gothic" w:cs="Arial"/>
          <w:shd w:val="clear" w:color="auto" w:fill="FFFFFF"/>
        </w:rPr>
        <w:t>Principios de igualdad y libertad que frente agresores a la vida y transgresión sexual de los niños, niñas y adolescentes, resulta lógico en el actuar constitucional su limitación cuando producto de su actuar consciente cometen actos aberrantes, condiciones que un niño, niña o adolescente no tiene la capacidad ni física, ni mental, ni emocional de resistir y que requieren desde lo constitucional, desde lo legal, desde el andamiaje estructural del Estado y por ende desde los esquemas de acceso a la justicia y su efectividad de medidas que les complementen  sus  capacidades humanas, aún incipi</w:t>
      </w:r>
      <w:r w:rsidR="00F60C06" w:rsidRPr="002D6F59">
        <w:rPr>
          <w:rFonts w:ascii="Century Gothic" w:hAnsi="Century Gothic" w:cs="Arial"/>
          <w:shd w:val="clear" w:color="auto" w:fill="FFFFFF"/>
        </w:rPr>
        <w:t>entes para afrontar violencias.</w:t>
      </w:r>
    </w:p>
    <w:p w14:paraId="5C428980" w14:textId="77777777" w:rsidR="002752F7" w:rsidRPr="007E0087" w:rsidRDefault="002752F7" w:rsidP="00B17AB2">
      <w:pPr>
        <w:spacing w:line="276" w:lineRule="auto"/>
        <w:jc w:val="both"/>
        <w:rPr>
          <w:rFonts w:ascii="Century Gothic" w:hAnsi="Century Gothic" w:cs="Arial"/>
          <w:shd w:val="clear" w:color="auto" w:fill="FFFFFF"/>
        </w:rPr>
      </w:pPr>
    </w:p>
    <w:p w14:paraId="77F8CF21" w14:textId="75740BB7" w:rsidR="00814CB0" w:rsidRPr="002D6F59" w:rsidRDefault="00141E7A" w:rsidP="00B17AB2">
      <w:pPr>
        <w:pStyle w:val="Prrafodelista"/>
        <w:numPr>
          <w:ilvl w:val="0"/>
          <w:numId w:val="46"/>
        </w:numPr>
        <w:spacing w:after="240"/>
        <w:jc w:val="both"/>
        <w:rPr>
          <w:rFonts w:ascii="Century Gothic" w:hAnsi="Century Gothic" w:cs="Arial"/>
          <w:b/>
        </w:rPr>
      </w:pPr>
      <w:r w:rsidRPr="002D6F59">
        <w:rPr>
          <w:rFonts w:ascii="Century Gothic" w:hAnsi="Century Gothic" w:cs="Arial"/>
          <w:b/>
        </w:rPr>
        <w:t>LAS CARGAS QUE NO CORRESPONDE ASUMIR A LOS NIÑOS, NIÑAS Y ADOLESCENTES SOPORTAR FRENTE AL DEBER DE PROTECCIÓN DEL ESTADO.</w:t>
      </w:r>
    </w:p>
    <w:p w14:paraId="050A92E3" w14:textId="77777777" w:rsidR="002E4C81" w:rsidRPr="002D6F59" w:rsidRDefault="002E4C81" w:rsidP="00B17AB2">
      <w:pPr>
        <w:spacing w:line="276" w:lineRule="auto"/>
        <w:jc w:val="both"/>
        <w:rPr>
          <w:rFonts w:ascii="Century Gothic" w:hAnsi="Century Gothic" w:cs="Arial"/>
        </w:rPr>
      </w:pPr>
      <w:r w:rsidRPr="002D6F59">
        <w:rPr>
          <w:rFonts w:ascii="Century Gothic" w:hAnsi="Century Gothic" w:cs="Arial"/>
        </w:rPr>
        <w:t xml:space="preserve">Se expone como un argumento contradictor que generar excepcionalmente la cadena perpetua en protección a los niños, niñas y adolescentes contra conductas delictivas de homicidio en modalidad dolosa o conductas sexuales </w:t>
      </w:r>
      <w:r w:rsidRPr="002D6F59">
        <w:rPr>
          <w:rFonts w:ascii="Century Gothic" w:hAnsi="Century Gothic" w:cs="Arial"/>
        </w:rPr>
        <w:lastRenderedPageBreak/>
        <w:t xml:space="preserve">que los vulneren, crea costos al Estado al mantener a un delincuente catalogado como peligroso para la sociedad y dentro de esa sociedad peligroso para un colectivo vulnerable representado por los niños. </w:t>
      </w:r>
    </w:p>
    <w:p w14:paraId="01B1B38F" w14:textId="77777777" w:rsidR="002E4C81" w:rsidRPr="002D6F59" w:rsidRDefault="002E4C81" w:rsidP="00067D87">
      <w:pPr>
        <w:jc w:val="both"/>
        <w:rPr>
          <w:rFonts w:ascii="Century Gothic" w:hAnsi="Century Gothic" w:cs="Arial"/>
        </w:rPr>
      </w:pPr>
    </w:p>
    <w:p w14:paraId="1942250E" w14:textId="77777777" w:rsidR="002E4C81" w:rsidRPr="002D6F59" w:rsidRDefault="002E4C81" w:rsidP="00B17AB2">
      <w:pPr>
        <w:spacing w:line="276" w:lineRule="auto"/>
        <w:jc w:val="both"/>
        <w:rPr>
          <w:rFonts w:ascii="Century Gothic" w:hAnsi="Century Gothic" w:cs="Arial"/>
          <w:i/>
          <w:iCs/>
          <w:bdr w:val="none" w:sz="0" w:space="0" w:color="auto" w:frame="1"/>
          <w:shd w:val="clear" w:color="auto" w:fill="FFFFFF"/>
        </w:rPr>
      </w:pPr>
      <w:r w:rsidRPr="002D6F59">
        <w:rPr>
          <w:rFonts w:ascii="Century Gothic" w:hAnsi="Century Gothic" w:cs="Arial"/>
        </w:rPr>
        <w:t>Existe un interés superior del niño de orden Constitucional y que la Corte Constitucional en sentencia T-338 de 2018 lo determina bajo los siguientes criterios: “</w:t>
      </w:r>
      <w:r w:rsidRPr="002D6F59">
        <w:rPr>
          <w:rFonts w:ascii="Century Gothic" w:hAnsi="Century Gothic" w:cs="Arial"/>
          <w:i/>
          <w:iCs/>
          <w:bdr w:val="none" w:sz="0" w:space="0" w:color="auto" w:frame="1"/>
          <w:shd w:val="clear" w:color="auto" w:fill="FFFFFF"/>
        </w:rPr>
        <w:t>Son criterios jurídicos para determinar el interés superior de los niños, niñas y adolescentes en un caso particular: (i) la garantía del desarrollo integral del menor de edad; (ii) la garantía de las condiciones necesarias para el pleno ejercicio de sus derechos fundamentales; (iii) la protección frente a riesgos prohibidos; (iv) el equilibrio de sus derechos con los de sus familiares (si se altera dicho equilibrio, debe adoptarse la decisión que mejor satisfaga los derechos de los niños, niñas y adolescentes); (v) la provisión de un ambiente familiar apto para su desarrollo; (vi) la necesidad de justificar con razones de peso la intervención del Estado en las relaciones familiares; y (vii) la evasión de cambios desfavorables en las condiciones de los niños involucrados. Adicionalmente, en desarrollos jurisprudenciales posteriores, se ha sumado a estos criterios, (viii) el respeto por el derecho de los niños y niñas a ser escuchados y de participar en las decisiones que los involucran.”</w:t>
      </w:r>
    </w:p>
    <w:p w14:paraId="19945518" w14:textId="77777777" w:rsidR="002E4C81" w:rsidRPr="002D6F59" w:rsidRDefault="002E4C81" w:rsidP="00067D87">
      <w:pPr>
        <w:jc w:val="both"/>
        <w:rPr>
          <w:rFonts w:ascii="Century Gothic" w:hAnsi="Century Gothic" w:cs="Arial"/>
          <w:i/>
          <w:iCs/>
          <w:bdr w:val="none" w:sz="0" w:space="0" w:color="auto" w:frame="1"/>
          <w:shd w:val="clear" w:color="auto" w:fill="FFFFFF"/>
        </w:rPr>
      </w:pPr>
    </w:p>
    <w:p w14:paraId="6A913D60" w14:textId="5FF936A6" w:rsidR="002E4C81" w:rsidRPr="002D6F59" w:rsidRDefault="002E4C81" w:rsidP="00B17AB2">
      <w:pPr>
        <w:spacing w:line="276" w:lineRule="auto"/>
        <w:jc w:val="both"/>
        <w:rPr>
          <w:rFonts w:ascii="Century Gothic" w:hAnsi="Century Gothic" w:cs="Arial"/>
          <w:iCs/>
          <w:bdr w:val="none" w:sz="0" w:space="0" w:color="auto" w:frame="1"/>
          <w:shd w:val="clear" w:color="auto" w:fill="FFFFFF"/>
        </w:rPr>
      </w:pPr>
      <w:r w:rsidRPr="002D6F59">
        <w:rPr>
          <w:rFonts w:ascii="Century Gothic" w:hAnsi="Century Gothic" w:cs="Arial"/>
          <w:iCs/>
          <w:bdr w:val="none" w:sz="0" w:space="0" w:color="auto" w:frame="1"/>
          <w:shd w:val="clear" w:color="auto" w:fill="FFFFFF"/>
        </w:rPr>
        <w:t xml:space="preserve">En ese orden no sólo el congreso está llamado a legislar con medidas que en acción positiva y excepcional protejan a los niños, niñas y adolescentes frente a riesgos prohibidos, como a garantizar su desarrollo integral y de las condiciones para el pleno ejercicio de sus derechos fundamentales, sino que este deber de protección reforzada para hacer efectivos los intereses superiores del niño, no pueden tener como limitante el costo de las medidas adoptadas, pues no solo los costos que puedan generarse en la aplicación excepcional de la cadena perpetua, no implican un costo que pueda considerarse </w:t>
      </w:r>
      <w:r w:rsidR="00F60C06" w:rsidRPr="002D6F59">
        <w:rPr>
          <w:rFonts w:ascii="Century Gothic" w:hAnsi="Century Gothic" w:cs="Arial"/>
          <w:iCs/>
          <w:bdr w:val="none" w:sz="0" w:space="0" w:color="auto" w:frame="1"/>
          <w:shd w:val="clear" w:color="auto" w:fill="FFFFFF"/>
        </w:rPr>
        <w:t>desequilibrante</w:t>
      </w:r>
      <w:r w:rsidRPr="002D6F59">
        <w:rPr>
          <w:rFonts w:ascii="Century Gothic" w:hAnsi="Century Gothic" w:cs="Arial"/>
          <w:iCs/>
          <w:bdr w:val="none" w:sz="0" w:space="0" w:color="auto" w:frame="1"/>
          <w:shd w:val="clear" w:color="auto" w:fill="FFFFFF"/>
        </w:rPr>
        <w:t xml:space="preserve"> del marco fiscal del Estado en el inmediato, mediano y largo plazo, sino que este tipo de argumentos implicaría que los menores deben asumir como carga grados elevados de desprotección de sus derechos y someterlo a valores intrínsecamente y extrínsecamente inferiores  como son el valor del ofensor y victimario causa al Estado al ser limitada su libertad por conductas delictivas contrariaras a bienes jurídicamente tutelados y de interés superior.</w:t>
      </w:r>
    </w:p>
    <w:p w14:paraId="60EC8CE6" w14:textId="77777777" w:rsidR="002E4C81" w:rsidRPr="002D6F59" w:rsidRDefault="002E4C81" w:rsidP="00067D87">
      <w:pPr>
        <w:jc w:val="both"/>
        <w:rPr>
          <w:rFonts w:ascii="Century Gothic" w:hAnsi="Century Gothic" w:cs="Arial"/>
          <w:iCs/>
          <w:bdr w:val="none" w:sz="0" w:space="0" w:color="auto" w:frame="1"/>
          <w:shd w:val="clear" w:color="auto" w:fill="FFFFFF"/>
        </w:rPr>
      </w:pPr>
    </w:p>
    <w:p w14:paraId="1203CE7C" w14:textId="5030C3CC" w:rsidR="00E963D8" w:rsidRDefault="002E4C81" w:rsidP="00A11CD4">
      <w:pPr>
        <w:spacing w:line="276" w:lineRule="auto"/>
        <w:jc w:val="both"/>
        <w:rPr>
          <w:rFonts w:ascii="Century Gothic" w:hAnsi="Century Gothic" w:cs="Arial"/>
          <w:iCs/>
          <w:color w:val="2D2D2D"/>
          <w:bdr w:val="none" w:sz="0" w:space="0" w:color="auto" w:frame="1"/>
          <w:shd w:val="clear" w:color="auto" w:fill="FFFFFF"/>
        </w:rPr>
      </w:pPr>
      <w:r w:rsidRPr="002D6F59">
        <w:rPr>
          <w:rFonts w:ascii="Century Gothic" w:hAnsi="Century Gothic" w:cs="Arial"/>
          <w:iCs/>
          <w:bdr w:val="none" w:sz="0" w:space="0" w:color="auto" w:frame="1"/>
          <w:shd w:val="clear" w:color="auto" w:fill="FFFFFF"/>
        </w:rPr>
        <w:t xml:space="preserve">Este tipo de argumentos no sólo resultan incoherentes, sino que pretenden generar en los menores la carga de soportar una desprotección del Estado </w:t>
      </w:r>
      <w:r w:rsidRPr="002D6F59">
        <w:rPr>
          <w:rFonts w:ascii="Century Gothic" w:hAnsi="Century Gothic" w:cs="Arial"/>
          <w:iCs/>
          <w:bdr w:val="none" w:sz="0" w:space="0" w:color="auto" w:frame="1"/>
          <w:shd w:val="clear" w:color="auto" w:fill="FFFFFF"/>
        </w:rPr>
        <w:lastRenderedPageBreak/>
        <w:t>frente a sus intereses supremos, que no está en capacidad ni tiene el deber de soportar, pues imponerla implica dar al traste con la Constitución y los derechos que se le reconocen como plenos a los niños, niñas y adolescentes.</w:t>
      </w:r>
      <w:r w:rsidRPr="002D6F59">
        <w:rPr>
          <w:rFonts w:ascii="Century Gothic" w:hAnsi="Century Gothic" w:cs="Arial"/>
          <w:iCs/>
          <w:color w:val="2D2D2D"/>
          <w:bdr w:val="none" w:sz="0" w:space="0" w:color="auto" w:frame="1"/>
          <w:shd w:val="clear" w:color="auto" w:fill="FFFFFF"/>
        </w:rPr>
        <w:t xml:space="preserve"> </w:t>
      </w:r>
    </w:p>
    <w:p w14:paraId="79D44485" w14:textId="77777777" w:rsidR="00A11CD4" w:rsidRPr="00A11CD4" w:rsidRDefault="00A11CD4" w:rsidP="00A11CD4">
      <w:pPr>
        <w:jc w:val="both"/>
        <w:rPr>
          <w:rFonts w:ascii="Century Gothic" w:hAnsi="Century Gothic" w:cs="Arial"/>
          <w:iCs/>
          <w:color w:val="2D2D2D"/>
          <w:bdr w:val="none" w:sz="0" w:space="0" w:color="auto" w:frame="1"/>
          <w:shd w:val="clear" w:color="auto" w:fill="FFFFFF"/>
        </w:rPr>
      </w:pPr>
    </w:p>
    <w:p w14:paraId="3181A80C" w14:textId="01A42A9F" w:rsidR="00793F85" w:rsidRPr="002D6F59" w:rsidRDefault="00793F85" w:rsidP="00B17AB2">
      <w:pPr>
        <w:pStyle w:val="Prrafodelista"/>
        <w:numPr>
          <w:ilvl w:val="0"/>
          <w:numId w:val="25"/>
        </w:numPr>
        <w:spacing w:after="240"/>
        <w:jc w:val="center"/>
        <w:rPr>
          <w:rFonts w:ascii="Century Gothic" w:hAnsi="Century Gothic" w:cs="Arial"/>
          <w:b/>
          <w:caps/>
          <w:sz w:val="24"/>
          <w:szCs w:val="24"/>
        </w:rPr>
      </w:pPr>
      <w:r w:rsidRPr="002D6F59">
        <w:rPr>
          <w:rFonts w:ascii="Century Gothic" w:hAnsi="Century Gothic" w:cs="Arial"/>
          <w:b/>
          <w:caps/>
          <w:sz w:val="24"/>
          <w:szCs w:val="24"/>
        </w:rPr>
        <w:t>PROPOSIciÓN</w:t>
      </w:r>
    </w:p>
    <w:p w14:paraId="4C4C93DB" w14:textId="2226439D" w:rsidR="00653BEA" w:rsidRPr="00C54A35" w:rsidRDefault="00793F85" w:rsidP="00C54A35">
      <w:pPr>
        <w:spacing w:line="276" w:lineRule="auto"/>
        <w:jc w:val="both"/>
      </w:pPr>
      <w:r w:rsidRPr="002D6F59">
        <w:rPr>
          <w:rFonts w:ascii="Century Gothic" w:hAnsi="Century Gothic" w:cs="Arial"/>
          <w:color w:val="000000"/>
        </w:rPr>
        <w:t xml:space="preserve">Por lo expuesto anteriormente solicitamos </w:t>
      </w:r>
      <w:r w:rsidR="00C54A35" w:rsidRPr="00C54A35">
        <w:rPr>
          <w:rFonts w:ascii="Century Gothic" w:hAnsi="Century Gothic" w:cs="Arial"/>
          <w:color w:val="000000"/>
        </w:rPr>
        <w:t>a la Comisión Primera de la Cámara de Representantes</w:t>
      </w:r>
      <w:r w:rsidRPr="002D6F59">
        <w:rPr>
          <w:rFonts w:ascii="Century Gothic" w:hAnsi="Century Gothic" w:cs="Arial"/>
        </w:rPr>
        <w:t xml:space="preserve">, </w:t>
      </w:r>
      <w:r w:rsidRPr="002D6F59">
        <w:rPr>
          <w:rFonts w:ascii="Century Gothic" w:hAnsi="Century Gothic" w:cs="Arial"/>
          <w:b/>
        </w:rPr>
        <w:t xml:space="preserve">dar </w:t>
      </w:r>
      <w:r w:rsidR="00C54A35">
        <w:rPr>
          <w:rFonts w:ascii="Century Gothic" w:hAnsi="Century Gothic" w:cs="Arial"/>
          <w:b/>
        </w:rPr>
        <w:t>primer</w:t>
      </w:r>
      <w:r w:rsidR="006C7CFE">
        <w:rPr>
          <w:rFonts w:ascii="Century Gothic" w:hAnsi="Century Gothic" w:cs="Arial"/>
          <w:b/>
        </w:rPr>
        <w:t xml:space="preserve"> </w:t>
      </w:r>
      <w:r w:rsidRPr="00C209CD">
        <w:rPr>
          <w:rFonts w:ascii="Century Gothic" w:hAnsi="Century Gothic" w:cs="Arial"/>
          <w:b/>
        </w:rPr>
        <w:t xml:space="preserve">debate </w:t>
      </w:r>
      <w:r w:rsidR="00C209CD" w:rsidRPr="00C209CD">
        <w:rPr>
          <w:rFonts w:ascii="Century Gothic" w:hAnsi="Century Gothic" w:cs="Arial"/>
          <w:b/>
        </w:rPr>
        <w:t xml:space="preserve">en </w:t>
      </w:r>
      <w:r w:rsidR="00C54A35">
        <w:rPr>
          <w:rFonts w:ascii="Century Gothic" w:hAnsi="Century Gothic" w:cs="Arial"/>
          <w:b/>
        </w:rPr>
        <w:t>segunda</w:t>
      </w:r>
      <w:r w:rsidR="00C209CD" w:rsidRPr="00C209CD">
        <w:rPr>
          <w:rFonts w:ascii="Century Gothic" w:hAnsi="Century Gothic" w:cs="Arial"/>
          <w:b/>
        </w:rPr>
        <w:t xml:space="preserve"> vuelta</w:t>
      </w:r>
      <w:r w:rsidR="00C209CD">
        <w:rPr>
          <w:rFonts w:ascii="Century Gothic" w:hAnsi="Century Gothic" w:cs="Arial"/>
        </w:rPr>
        <w:t xml:space="preserve"> </w:t>
      </w:r>
      <w:r w:rsidRPr="002D6F59">
        <w:rPr>
          <w:rFonts w:ascii="Century Gothic" w:hAnsi="Century Gothic" w:cs="Arial"/>
        </w:rPr>
        <w:t xml:space="preserve">al </w:t>
      </w:r>
      <w:r w:rsidR="004B4D6E" w:rsidRPr="0055676B">
        <w:rPr>
          <w:rFonts w:ascii="Century Gothic" w:hAnsi="Century Gothic" w:cs="Book Antiqua"/>
          <w:color w:val="000000"/>
          <w:lang w:val="es-CO"/>
        </w:rPr>
        <w:t xml:space="preserve">Proyecto de Acto Legislativo 001 </w:t>
      </w:r>
      <w:r w:rsidR="004B4D6E">
        <w:rPr>
          <w:rFonts w:ascii="Century Gothic" w:hAnsi="Century Gothic" w:cs="Book Antiqua"/>
          <w:color w:val="000000"/>
          <w:lang w:val="es-CO"/>
        </w:rPr>
        <w:t>de</w:t>
      </w:r>
      <w:r w:rsidR="004B4D6E" w:rsidRPr="0055676B">
        <w:rPr>
          <w:rFonts w:ascii="Century Gothic" w:hAnsi="Century Gothic" w:cs="Book Antiqua"/>
          <w:color w:val="000000"/>
          <w:lang w:val="es-CO"/>
        </w:rPr>
        <w:t xml:space="preserve"> 2019 Cámara </w:t>
      </w:r>
      <w:r w:rsidR="004B4D6E">
        <w:rPr>
          <w:rFonts w:ascii="Century Gothic" w:hAnsi="Century Gothic" w:cs="Book Antiqua"/>
          <w:color w:val="000000"/>
          <w:lang w:val="es-CO"/>
        </w:rPr>
        <w:t>(a</w:t>
      </w:r>
      <w:r w:rsidR="004B4D6E" w:rsidRPr="0055676B">
        <w:rPr>
          <w:rFonts w:ascii="Century Gothic" w:hAnsi="Century Gothic" w:cs="Book Antiqua"/>
          <w:color w:val="000000"/>
          <w:lang w:val="es-CO"/>
        </w:rPr>
        <w:t xml:space="preserve">cumulado </w:t>
      </w:r>
      <w:r w:rsidR="004B4D6E">
        <w:rPr>
          <w:rFonts w:ascii="Century Gothic" w:hAnsi="Century Gothic" w:cs="Book Antiqua"/>
          <w:color w:val="000000"/>
          <w:lang w:val="es-CO"/>
        </w:rPr>
        <w:t>c</w:t>
      </w:r>
      <w:r w:rsidR="004B4D6E" w:rsidRPr="0055676B">
        <w:rPr>
          <w:rFonts w:ascii="Century Gothic" w:hAnsi="Century Gothic" w:cs="Book Antiqua"/>
          <w:color w:val="000000"/>
          <w:lang w:val="es-CO"/>
        </w:rPr>
        <w:t xml:space="preserve">on </w:t>
      </w:r>
      <w:r w:rsidR="004B4D6E">
        <w:rPr>
          <w:rFonts w:ascii="Century Gothic" w:hAnsi="Century Gothic" w:cs="Book Antiqua"/>
          <w:color w:val="000000"/>
          <w:lang w:val="es-CO"/>
        </w:rPr>
        <w:t>e</w:t>
      </w:r>
      <w:r w:rsidR="004B4D6E" w:rsidRPr="0055676B">
        <w:rPr>
          <w:rFonts w:ascii="Century Gothic" w:hAnsi="Century Gothic" w:cs="Book Antiqua"/>
          <w:color w:val="000000"/>
          <w:lang w:val="es-CO"/>
        </w:rPr>
        <w:t xml:space="preserve">l Proyecto </w:t>
      </w:r>
      <w:r w:rsidR="004B4D6E">
        <w:rPr>
          <w:rFonts w:ascii="Century Gothic" w:hAnsi="Century Gothic" w:cs="Book Antiqua"/>
          <w:color w:val="000000"/>
          <w:lang w:val="es-CO"/>
        </w:rPr>
        <w:t>de</w:t>
      </w:r>
      <w:r w:rsidR="004B4D6E" w:rsidRPr="0055676B">
        <w:rPr>
          <w:rFonts w:ascii="Century Gothic" w:hAnsi="Century Gothic" w:cs="Book Antiqua"/>
          <w:color w:val="000000"/>
          <w:lang w:val="es-CO"/>
        </w:rPr>
        <w:t xml:space="preserve"> Acto Legislativo 047 </w:t>
      </w:r>
      <w:r w:rsidR="004B4D6E">
        <w:rPr>
          <w:rFonts w:ascii="Century Gothic" w:hAnsi="Century Gothic" w:cs="Book Antiqua"/>
          <w:color w:val="000000"/>
          <w:lang w:val="es-CO"/>
        </w:rPr>
        <w:t>d</w:t>
      </w:r>
      <w:r w:rsidR="004B4D6E" w:rsidRPr="0055676B">
        <w:rPr>
          <w:rFonts w:ascii="Century Gothic" w:hAnsi="Century Gothic" w:cs="Book Antiqua"/>
          <w:color w:val="000000"/>
          <w:lang w:val="es-CO"/>
        </w:rPr>
        <w:t>e 2019 Cámara</w:t>
      </w:r>
      <w:r w:rsidR="004B4D6E">
        <w:rPr>
          <w:rFonts w:ascii="Century Gothic" w:hAnsi="Century Gothic" w:cs="Book Antiqua"/>
          <w:color w:val="000000"/>
          <w:lang w:val="es-CO"/>
        </w:rPr>
        <w:t>)</w:t>
      </w:r>
      <w:r w:rsidR="004B4D6E" w:rsidRPr="0055676B">
        <w:rPr>
          <w:rFonts w:ascii="Century Gothic" w:hAnsi="Century Gothic" w:cs="Book Antiqua"/>
          <w:color w:val="000000"/>
          <w:lang w:val="es-CO"/>
        </w:rPr>
        <w:t xml:space="preserve"> </w:t>
      </w:r>
      <w:r w:rsidR="004B4D6E" w:rsidRPr="006B6762">
        <w:rPr>
          <w:rFonts w:ascii="Century Gothic" w:hAnsi="Century Gothic" w:cs="Book Antiqua"/>
          <w:color w:val="000000"/>
          <w:lang w:val="es-CO"/>
        </w:rPr>
        <w:t xml:space="preserve">- </w:t>
      </w:r>
      <w:r w:rsidR="004B4D6E" w:rsidRPr="0055676B">
        <w:rPr>
          <w:rFonts w:ascii="Century Gothic" w:hAnsi="Century Gothic" w:cs="Book Antiqua"/>
          <w:color w:val="000000"/>
          <w:lang w:val="es-CO"/>
        </w:rPr>
        <w:t>Proyecto de Acto Legislativo</w:t>
      </w:r>
      <w:r w:rsidR="004B4D6E">
        <w:rPr>
          <w:rFonts w:ascii="Century Gothic" w:hAnsi="Century Gothic" w:cs="Book Antiqua"/>
          <w:color w:val="000000"/>
          <w:lang w:val="es-CO"/>
        </w:rPr>
        <w:t xml:space="preserve"> </w:t>
      </w:r>
      <w:r w:rsidR="004B4D6E" w:rsidRPr="006B6762">
        <w:rPr>
          <w:rFonts w:ascii="Century Gothic" w:hAnsi="Century Gothic" w:cs="Book Antiqua"/>
          <w:color w:val="000000"/>
          <w:lang w:val="es-CO"/>
        </w:rPr>
        <w:t xml:space="preserve">021 </w:t>
      </w:r>
      <w:r w:rsidR="004B4D6E">
        <w:rPr>
          <w:rFonts w:ascii="Century Gothic" w:hAnsi="Century Gothic" w:cs="Book Antiqua"/>
          <w:color w:val="000000"/>
          <w:lang w:val="es-CO"/>
        </w:rPr>
        <w:t>d</w:t>
      </w:r>
      <w:r w:rsidR="004B4D6E" w:rsidRPr="006B6762">
        <w:rPr>
          <w:rFonts w:ascii="Century Gothic" w:hAnsi="Century Gothic" w:cs="Book Antiqua"/>
          <w:color w:val="000000"/>
          <w:lang w:val="es-CO"/>
        </w:rPr>
        <w:t>e 2019 Senado</w:t>
      </w:r>
      <w:r w:rsidR="006C7CFE" w:rsidRPr="00C9213B">
        <w:rPr>
          <w:rFonts w:ascii="Century Gothic" w:hAnsi="Century Gothic" w:cs="Arial"/>
        </w:rPr>
        <w:t xml:space="preserve"> </w:t>
      </w:r>
      <w:r w:rsidR="006C7CFE" w:rsidRPr="00C9213B">
        <w:rPr>
          <w:rFonts w:ascii="Century Gothic" w:hAnsi="Century Gothic" w:cs="Arial"/>
          <w:i/>
        </w:rPr>
        <w:t>“Por medio del cual se modifica el artículo 34 de la constitución política, suprimiendo la prohibición de la pena de prisión perpetua y estableciendo la prisión per</w:t>
      </w:r>
      <w:r w:rsidR="006C7CFE" w:rsidRPr="006C7CFE">
        <w:rPr>
          <w:rFonts w:ascii="Century Gothic" w:hAnsi="Century Gothic" w:cs="Arial"/>
          <w:i/>
        </w:rPr>
        <w:t xml:space="preserve">petua revisable” – </w:t>
      </w:r>
      <w:r w:rsidR="006C7CFE" w:rsidRPr="006C7CFE">
        <w:rPr>
          <w:rFonts w:ascii="Century Gothic" w:hAnsi="Century Gothic" w:cs="Arial"/>
        </w:rPr>
        <w:t>en memoria de Gilma Jiménez</w:t>
      </w:r>
      <w:r w:rsidR="00A11CD4">
        <w:rPr>
          <w:rFonts w:ascii="Century Gothic" w:hAnsi="Century Gothic" w:cs="Arial"/>
        </w:rPr>
        <w:t>.</w:t>
      </w:r>
      <w:r w:rsidR="006124A1" w:rsidRPr="00204FEF">
        <w:rPr>
          <w:rFonts w:ascii="Century Gothic" w:hAnsi="Century Gothic" w:cs="Arial"/>
          <w:color w:val="000000" w:themeColor="text1"/>
        </w:rPr>
        <w:t xml:space="preserve"> </w:t>
      </w:r>
    </w:p>
    <w:p w14:paraId="2B936CB5" w14:textId="77777777" w:rsidR="0072334E" w:rsidRDefault="0072334E" w:rsidP="0072334E">
      <w:pPr>
        <w:jc w:val="both"/>
        <w:rPr>
          <w:rFonts w:ascii="Century Gothic" w:hAnsi="Century Gothic" w:cs="Arial"/>
        </w:rPr>
      </w:pPr>
    </w:p>
    <w:p w14:paraId="3A6B806E" w14:textId="5EC9161C" w:rsidR="00BB314B" w:rsidRDefault="00357F8A" w:rsidP="008E64C8">
      <w:pPr>
        <w:spacing w:after="240" w:line="276" w:lineRule="auto"/>
        <w:jc w:val="both"/>
        <w:rPr>
          <w:rFonts w:ascii="Century Gothic" w:hAnsi="Century Gothic" w:cs="Arial"/>
          <w:i/>
        </w:rPr>
      </w:pPr>
      <w:r w:rsidRPr="002D6F59">
        <w:rPr>
          <w:rFonts w:ascii="Century Gothic" w:hAnsi="Century Gothic" w:cs="Arial"/>
        </w:rPr>
        <w:t>Cordialmente,</w:t>
      </w:r>
    </w:p>
    <w:p w14:paraId="12B0E4E6" w14:textId="4260F793" w:rsidR="008E64C8" w:rsidRDefault="008E64C8" w:rsidP="005D1C6B">
      <w:pPr>
        <w:spacing w:after="240" w:line="276" w:lineRule="auto"/>
        <w:jc w:val="both"/>
        <w:rPr>
          <w:rFonts w:ascii="Century Gothic" w:hAnsi="Century Gothic" w:cs="Arial"/>
          <w:i/>
        </w:rPr>
      </w:pPr>
    </w:p>
    <w:p w14:paraId="1D069A4C" w14:textId="77777777" w:rsidR="00221F78" w:rsidRPr="008E64C8" w:rsidRDefault="00221F78" w:rsidP="00221F78">
      <w:pPr>
        <w:jc w:val="both"/>
        <w:rPr>
          <w:rFonts w:ascii="Century Gothic" w:hAnsi="Century Gothic" w:cs="Arial"/>
          <w:i/>
        </w:rPr>
      </w:pPr>
    </w:p>
    <w:p w14:paraId="75485BF7" w14:textId="53883AEE" w:rsidR="00357F8A" w:rsidRPr="002D6F59" w:rsidRDefault="00357F8A" w:rsidP="00B17AB2">
      <w:pPr>
        <w:spacing w:line="276" w:lineRule="auto"/>
        <w:jc w:val="both"/>
        <w:rPr>
          <w:rFonts w:ascii="Century Gothic" w:hAnsi="Century Gothic" w:cs="Arial"/>
          <w:b/>
        </w:rPr>
      </w:pPr>
      <w:r w:rsidRPr="002D6F59">
        <w:rPr>
          <w:rFonts w:ascii="Century Gothic" w:hAnsi="Century Gothic" w:cs="Arial"/>
          <w:b/>
        </w:rPr>
        <w:t>ADRIANA MAGALI MATIZ VARGAS</w:t>
      </w:r>
      <w:r w:rsidR="00292A9F" w:rsidRPr="002D6F59">
        <w:rPr>
          <w:rFonts w:ascii="Century Gothic" w:hAnsi="Century Gothic" w:cs="Arial"/>
          <w:b/>
        </w:rPr>
        <w:t xml:space="preserve">-C </w:t>
      </w:r>
      <w:r w:rsidR="00FF562B">
        <w:rPr>
          <w:rFonts w:ascii="Century Gothic" w:hAnsi="Century Gothic" w:cs="Arial"/>
          <w:b/>
        </w:rPr>
        <w:t xml:space="preserve">      </w:t>
      </w:r>
      <w:r w:rsidRPr="002D6F59">
        <w:rPr>
          <w:rFonts w:ascii="Century Gothic" w:hAnsi="Century Gothic" w:cs="Arial"/>
          <w:b/>
        </w:rPr>
        <w:t>CESAR AUGUSTO LORDUY MALDONADO</w:t>
      </w:r>
    </w:p>
    <w:p w14:paraId="42FD34C5" w14:textId="3BB01607" w:rsidR="008E64C8" w:rsidRDefault="00357F8A" w:rsidP="00B17AB2">
      <w:pPr>
        <w:spacing w:line="276" w:lineRule="auto"/>
        <w:jc w:val="both"/>
        <w:rPr>
          <w:rFonts w:ascii="Century Gothic" w:hAnsi="Century Gothic" w:cs="Arial"/>
        </w:rPr>
      </w:pPr>
      <w:r w:rsidRPr="002D6F59">
        <w:rPr>
          <w:rFonts w:ascii="Century Gothic" w:hAnsi="Century Gothic" w:cs="Arial"/>
          <w:b/>
        </w:rPr>
        <w:t xml:space="preserve">         </w:t>
      </w:r>
      <w:r w:rsidRPr="002D6F59">
        <w:rPr>
          <w:rFonts w:ascii="Century Gothic" w:hAnsi="Century Gothic" w:cs="Arial"/>
        </w:rPr>
        <w:t xml:space="preserve">Representante a la Cámara               </w:t>
      </w:r>
      <w:r w:rsidR="00FF562B">
        <w:rPr>
          <w:rFonts w:ascii="Century Gothic" w:hAnsi="Century Gothic" w:cs="Arial"/>
        </w:rPr>
        <w:t xml:space="preserve">       </w:t>
      </w:r>
      <w:r w:rsidR="008E64C8">
        <w:rPr>
          <w:rFonts w:ascii="Century Gothic" w:hAnsi="Century Gothic" w:cs="Arial"/>
        </w:rPr>
        <w:t xml:space="preserve">Representante a la Cámara </w:t>
      </w:r>
    </w:p>
    <w:p w14:paraId="6D49D7DE" w14:textId="77777777" w:rsidR="008E6CF6" w:rsidRDefault="008E6CF6" w:rsidP="00B17AB2">
      <w:pPr>
        <w:spacing w:line="276" w:lineRule="auto"/>
        <w:jc w:val="both"/>
        <w:rPr>
          <w:rFonts w:ascii="Century Gothic" w:hAnsi="Century Gothic" w:cs="Arial"/>
        </w:rPr>
      </w:pPr>
    </w:p>
    <w:p w14:paraId="167A3E66" w14:textId="6AB89389" w:rsidR="00221F78" w:rsidRDefault="008E6CF6" w:rsidP="00B17AB2">
      <w:pPr>
        <w:spacing w:line="276" w:lineRule="auto"/>
        <w:jc w:val="both"/>
        <w:rPr>
          <w:rFonts w:ascii="Century Gothic" w:hAnsi="Century Gothic" w:cs="Arial"/>
        </w:rPr>
      </w:pPr>
      <w:r>
        <w:rPr>
          <w:rFonts w:ascii="Century Gothic" w:hAnsi="Century Gothic" w:cs="Arial"/>
        </w:rPr>
        <w:t xml:space="preserve">                            </w:t>
      </w:r>
    </w:p>
    <w:p w14:paraId="48265143" w14:textId="77777777" w:rsidR="00221F78" w:rsidRPr="008E64C8" w:rsidRDefault="00221F78" w:rsidP="00B17AB2">
      <w:pPr>
        <w:spacing w:line="276" w:lineRule="auto"/>
        <w:jc w:val="both"/>
        <w:rPr>
          <w:rFonts w:ascii="Century Gothic" w:hAnsi="Century Gothic" w:cs="Arial"/>
        </w:rPr>
      </w:pPr>
    </w:p>
    <w:p w14:paraId="10398BC5" w14:textId="489E0212" w:rsidR="00357F8A" w:rsidRPr="002D6F59" w:rsidRDefault="00357F8A" w:rsidP="00B17AB2">
      <w:pPr>
        <w:spacing w:line="276" w:lineRule="auto"/>
        <w:jc w:val="both"/>
        <w:rPr>
          <w:rFonts w:ascii="Century Gothic" w:hAnsi="Century Gothic" w:cs="Arial"/>
          <w:b/>
        </w:rPr>
      </w:pPr>
      <w:r w:rsidRPr="002D6F59">
        <w:rPr>
          <w:rFonts w:ascii="Century Gothic" w:hAnsi="Century Gothic" w:cs="Arial"/>
          <w:b/>
        </w:rPr>
        <w:t xml:space="preserve">HARRY GIOVANNY GONZÁLEZ GARCIA     </w:t>
      </w:r>
      <w:r w:rsidR="00FF562B">
        <w:rPr>
          <w:rFonts w:ascii="Century Gothic" w:hAnsi="Century Gothic" w:cs="Arial"/>
          <w:b/>
        </w:rPr>
        <w:t xml:space="preserve">  </w:t>
      </w:r>
      <w:r w:rsidRPr="002D6F59">
        <w:rPr>
          <w:rFonts w:ascii="Century Gothic" w:hAnsi="Century Gothic" w:cs="Arial"/>
          <w:b/>
        </w:rPr>
        <w:t xml:space="preserve"> JOSÉ JAIME USCATEGUI PASTRANA                                       </w:t>
      </w:r>
    </w:p>
    <w:p w14:paraId="2BA28FEE" w14:textId="46FB3AFE" w:rsidR="00357F8A" w:rsidRPr="00FA6997" w:rsidRDefault="00FF562B" w:rsidP="00B17AB2">
      <w:pPr>
        <w:spacing w:line="276" w:lineRule="auto"/>
        <w:jc w:val="both"/>
        <w:rPr>
          <w:rFonts w:ascii="Century Gothic" w:hAnsi="Century Gothic" w:cs="Arial"/>
        </w:rPr>
      </w:pPr>
      <w:r>
        <w:rPr>
          <w:rFonts w:ascii="Century Gothic" w:hAnsi="Century Gothic" w:cs="Arial"/>
        </w:rPr>
        <w:t xml:space="preserve">        </w:t>
      </w:r>
      <w:r w:rsidR="00357F8A" w:rsidRPr="002D6F59">
        <w:rPr>
          <w:rFonts w:ascii="Century Gothic" w:hAnsi="Century Gothic" w:cs="Arial"/>
        </w:rPr>
        <w:t xml:space="preserve">  Representante a la Cámara     </w:t>
      </w:r>
      <w:r>
        <w:rPr>
          <w:rFonts w:ascii="Century Gothic" w:hAnsi="Century Gothic" w:cs="Arial"/>
        </w:rPr>
        <w:t xml:space="preserve">             </w:t>
      </w:r>
      <w:r w:rsidR="00357F8A" w:rsidRPr="002D6F59">
        <w:rPr>
          <w:rFonts w:ascii="Century Gothic" w:hAnsi="Century Gothic" w:cs="Arial"/>
        </w:rPr>
        <w:t xml:space="preserve"> </w:t>
      </w:r>
      <w:r>
        <w:rPr>
          <w:rFonts w:ascii="Century Gothic" w:hAnsi="Century Gothic" w:cs="Arial"/>
        </w:rPr>
        <w:t xml:space="preserve">   </w:t>
      </w:r>
      <w:r w:rsidR="00357F8A" w:rsidRPr="002D6F59">
        <w:rPr>
          <w:rFonts w:ascii="Century Gothic" w:hAnsi="Century Gothic" w:cs="Arial"/>
        </w:rPr>
        <w:t>Representante a la Cámara</w:t>
      </w:r>
    </w:p>
    <w:p w14:paraId="486675C2" w14:textId="01084C8A" w:rsidR="00A7215D" w:rsidRDefault="00A7215D" w:rsidP="00B17AB2">
      <w:pPr>
        <w:spacing w:line="276" w:lineRule="auto"/>
        <w:jc w:val="both"/>
        <w:rPr>
          <w:rFonts w:ascii="Century Gothic" w:hAnsi="Century Gothic" w:cs="Arial"/>
          <w:b/>
        </w:rPr>
      </w:pPr>
    </w:p>
    <w:p w14:paraId="366CEB67" w14:textId="0B8F9AC6" w:rsidR="00221F78" w:rsidRDefault="00221F78" w:rsidP="00B17AB2">
      <w:pPr>
        <w:spacing w:line="276" w:lineRule="auto"/>
        <w:jc w:val="both"/>
        <w:rPr>
          <w:rFonts w:ascii="Century Gothic" w:hAnsi="Century Gothic" w:cs="Arial"/>
          <w:b/>
        </w:rPr>
      </w:pPr>
    </w:p>
    <w:p w14:paraId="1F316065" w14:textId="77777777" w:rsidR="00221F78" w:rsidRPr="002D6F59" w:rsidRDefault="00221F78" w:rsidP="00B17AB2">
      <w:pPr>
        <w:spacing w:line="276" w:lineRule="auto"/>
        <w:jc w:val="both"/>
        <w:rPr>
          <w:rFonts w:ascii="Century Gothic" w:hAnsi="Century Gothic" w:cs="Arial"/>
          <w:b/>
        </w:rPr>
      </w:pPr>
    </w:p>
    <w:p w14:paraId="2DB84DF1" w14:textId="3C326196" w:rsidR="00357F8A" w:rsidRPr="002D6F59" w:rsidRDefault="00357F8A" w:rsidP="00BB314B">
      <w:pPr>
        <w:spacing w:line="276" w:lineRule="auto"/>
        <w:jc w:val="both"/>
        <w:rPr>
          <w:rFonts w:ascii="Century Gothic" w:hAnsi="Century Gothic" w:cs="Arial"/>
          <w:b/>
        </w:rPr>
      </w:pPr>
      <w:r w:rsidRPr="002D6F59">
        <w:rPr>
          <w:rFonts w:ascii="Century Gothic" w:hAnsi="Century Gothic" w:cs="Arial"/>
          <w:b/>
        </w:rPr>
        <w:t xml:space="preserve"> </w:t>
      </w:r>
      <w:r w:rsidR="00BB314B">
        <w:rPr>
          <w:rFonts w:ascii="Century Gothic" w:hAnsi="Century Gothic" w:cs="Arial"/>
          <w:b/>
        </w:rPr>
        <w:t xml:space="preserve">             </w:t>
      </w:r>
      <w:r w:rsidRPr="002D6F59">
        <w:rPr>
          <w:rFonts w:ascii="Century Gothic" w:hAnsi="Century Gothic" w:cs="Arial"/>
          <w:b/>
        </w:rPr>
        <w:t xml:space="preserve"> ELBERT DIAZ LOZANO</w:t>
      </w:r>
      <w:r w:rsidR="00BB314B">
        <w:rPr>
          <w:rFonts w:ascii="Century Gothic" w:hAnsi="Century Gothic" w:cs="Arial"/>
          <w:b/>
        </w:rPr>
        <w:t xml:space="preserve">                         </w:t>
      </w:r>
      <w:r w:rsidR="00BB314B" w:rsidRPr="00BB314B">
        <w:rPr>
          <w:rFonts w:ascii="Century Gothic" w:hAnsi="Century Gothic" w:cs="Arial"/>
          <w:b/>
        </w:rPr>
        <w:t>CARLOS GERMÁN NAVAS TALERO</w:t>
      </w:r>
      <w:r w:rsidR="00BB314B">
        <w:rPr>
          <w:rFonts w:ascii="Century Gothic" w:hAnsi="Century Gothic" w:cs="Arial"/>
          <w:b/>
        </w:rPr>
        <w:t xml:space="preserve">                                 </w:t>
      </w:r>
    </w:p>
    <w:p w14:paraId="1292E561" w14:textId="28467C49" w:rsidR="00357F8A" w:rsidRPr="002D6F59" w:rsidRDefault="00BB314B" w:rsidP="00BB314B">
      <w:pPr>
        <w:spacing w:line="276" w:lineRule="auto"/>
        <w:jc w:val="both"/>
        <w:rPr>
          <w:rFonts w:ascii="Century Gothic" w:hAnsi="Century Gothic" w:cs="Arial"/>
        </w:rPr>
      </w:pPr>
      <w:r>
        <w:rPr>
          <w:rFonts w:ascii="Century Gothic" w:hAnsi="Century Gothic" w:cs="Arial"/>
        </w:rPr>
        <w:t xml:space="preserve">      </w:t>
      </w:r>
      <w:r w:rsidR="00357F8A" w:rsidRPr="002D6F59">
        <w:rPr>
          <w:rFonts w:ascii="Century Gothic" w:hAnsi="Century Gothic" w:cs="Arial"/>
        </w:rPr>
        <w:t xml:space="preserve"> Representante a la Cámara</w:t>
      </w:r>
      <w:r w:rsidRPr="00BB314B">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6F52825A" w14:textId="0B5517E1" w:rsidR="00BB314B" w:rsidRDefault="00BB314B" w:rsidP="00B17AB2">
      <w:pPr>
        <w:spacing w:after="240" w:line="276" w:lineRule="auto"/>
        <w:jc w:val="both"/>
        <w:rPr>
          <w:rFonts w:ascii="Century Gothic" w:hAnsi="Century Gothic" w:cs="Arial"/>
        </w:rPr>
      </w:pPr>
    </w:p>
    <w:p w14:paraId="5A81D739" w14:textId="77777777" w:rsidR="008E64C8" w:rsidRPr="002D6F59" w:rsidRDefault="008E64C8" w:rsidP="00B17AB2">
      <w:pPr>
        <w:spacing w:after="240" w:line="276" w:lineRule="auto"/>
        <w:jc w:val="both"/>
        <w:rPr>
          <w:rFonts w:ascii="Century Gothic" w:hAnsi="Century Gothic" w:cs="Arial"/>
        </w:rPr>
      </w:pPr>
    </w:p>
    <w:p w14:paraId="554A7EEF" w14:textId="1C92FF0F" w:rsidR="00BB314B" w:rsidRPr="002D6F59" w:rsidRDefault="00BB314B" w:rsidP="00BB314B">
      <w:pPr>
        <w:spacing w:line="276" w:lineRule="auto"/>
        <w:jc w:val="center"/>
        <w:rPr>
          <w:rFonts w:ascii="Century Gothic" w:hAnsi="Century Gothic" w:cs="Arial"/>
          <w:sz w:val="22"/>
          <w:szCs w:val="22"/>
        </w:rPr>
      </w:pPr>
      <w:r w:rsidRPr="00BB314B">
        <w:rPr>
          <w:rFonts w:ascii="Century Gothic" w:hAnsi="Century Gothic" w:cs="Arial"/>
          <w:b/>
        </w:rPr>
        <w:t>LUIS ALBERTO ALBÁN</w:t>
      </w:r>
    </w:p>
    <w:p w14:paraId="47620A1A" w14:textId="444BBA97" w:rsidR="0082060E" w:rsidRDefault="00BB314B" w:rsidP="00320CE6">
      <w:pPr>
        <w:spacing w:line="276" w:lineRule="auto"/>
        <w:jc w:val="center"/>
        <w:rPr>
          <w:rFonts w:ascii="Century Gothic" w:hAnsi="Century Gothic" w:cs="Arial"/>
        </w:rPr>
      </w:pPr>
      <w:r w:rsidRPr="002D6F59">
        <w:rPr>
          <w:rFonts w:ascii="Century Gothic" w:hAnsi="Century Gothic" w:cs="Arial"/>
        </w:rPr>
        <w:t>Representante a la Cámara</w:t>
      </w:r>
    </w:p>
    <w:p w14:paraId="3E00DE67" w14:textId="77777777" w:rsidR="00221F78" w:rsidRDefault="00221F78" w:rsidP="00221F78">
      <w:pPr>
        <w:spacing w:line="276" w:lineRule="auto"/>
        <w:rPr>
          <w:rFonts w:ascii="Century Gothic" w:hAnsi="Century Gothic" w:cs="Arial"/>
        </w:rPr>
      </w:pPr>
    </w:p>
    <w:p w14:paraId="70AF9902" w14:textId="1C076BF9" w:rsidR="0082060E" w:rsidRDefault="0082060E" w:rsidP="004A66BC">
      <w:pPr>
        <w:pStyle w:val="Prrafodelista"/>
        <w:numPr>
          <w:ilvl w:val="0"/>
          <w:numId w:val="25"/>
        </w:numPr>
        <w:jc w:val="center"/>
        <w:rPr>
          <w:rFonts w:ascii="Century Gothic" w:eastAsiaTheme="minorHAnsi" w:hAnsi="Century Gothic" w:cs="Arial"/>
          <w:b/>
          <w:sz w:val="24"/>
          <w:szCs w:val="24"/>
          <w:lang w:val="es-ES_tradnl" w:eastAsia="es-ES_tradnl"/>
        </w:rPr>
      </w:pPr>
      <w:r w:rsidRPr="0082060E">
        <w:rPr>
          <w:rFonts w:ascii="Century Gothic" w:eastAsiaTheme="minorHAnsi" w:hAnsi="Century Gothic" w:cs="Arial"/>
          <w:b/>
          <w:sz w:val="24"/>
          <w:szCs w:val="24"/>
          <w:lang w:val="es-ES_tradnl" w:eastAsia="es-ES_tradnl"/>
        </w:rPr>
        <w:lastRenderedPageBreak/>
        <w:t xml:space="preserve">TEXTO PROPUESTO </w:t>
      </w:r>
      <w:r>
        <w:rPr>
          <w:rFonts w:ascii="Century Gothic" w:eastAsiaTheme="minorHAnsi" w:hAnsi="Century Gothic" w:cs="Arial"/>
          <w:b/>
          <w:sz w:val="24"/>
          <w:szCs w:val="24"/>
          <w:lang w:val="es-ES_tradnl" w:eastAsia="es-ES_tradnl"/>
        </w:rPr>
        <w:t xml:space="preserve">PARA </w:t>
      </w:r>
      <w:r w:rsidR="00D171D5">
        <w:rPr>
          <w:rFonts w:ascii="Century Gothic" w:eastAsiaTheme="minorHAnsi" w:hAnsi="Century Gothic" w:cs="Arial"/>
          <w:b/>
          <w:sz w:val="24"/>
          <w:szCs w:val="24"/>
          <w:lang w:val="es-ES_tradnl" w:eastAsia="es-ES_tradnl"/>
        </w:rPr>
        <w:t>PRIMER</w:t>
      </w:r>
      <w:r w:rsidRPr="0082060E">
        <w:rPr>
          <w:rFonts w:ascii="Century Gothic" w:eastAsiaTheme="minorHAnsi" w:hAnsi="Century Gothic" w:cs="Arial"/>
          <w:b/>
          <w:sz w:val="24"/>
          <w:szCs w:val="24"/>
          <w:lang w:val="es-ES_tradnl" w:eastAsia="es-ES_tradnl"/>
        </w:rPr>
        <w:t xml:space="preserve"> </w:t>
      </w:r>
      <w:r w:rsidR="008D5ED3" w:rsidRPr="0082060E">
        <w:rPr>
          <w:rFonts w:ascii="Century Gothic" w:eastAsiaTheme="minorHAnsi" w:hAnsi="Century Gothic" w:cs="Arial"/>
          <w:b/>
          <w:sz w:val="24"/>
          <w:szCs w:val="24"/>
          <w:lang w:val="es-ES_tradnl" w:eastAsia="es-ES_tradnl"/>
        </w:rPr>
        <w:t xml:space="preserve">DEBATE </w:t>
      </w:r>
      <w:r w:rsidR="008D5ED3">
        <w:rPr>
          <w:rFonts w:ascii="Century Gothic" w:eastAsiaTheme="minorHAnsi" w:hAnsi="Century Gothic" w:cs="Arial"/>
          <w:b/>
          <w:sz w:val="24"/>
          <w:szCs w:val="24"/>
          <w:lang w:val="es-ES_tradnl" w:eastAsia="es-ES_tradnl"/>
        </w:rPr>
        <w:t xml:space="preserve">EN CÁMARA – </w:t>
      </w:r>
      <w:r w:rsidR="002F3A9B">
        <w:rPr>
          <w:rFonts w:ascii="Century Gothic" w:eastAsiaTheme="minorHAnsi" w:hAnsi="Century Gothic" w:cs="Arial"/>
          <w:b/>
          <w:sz w:val="24"/>
          <w:szCs w:val="24"/>
          <w:lang w:val="es-ES_tradnl" w:eastAsia="es-ES_tradnl"/>
        </w:rPr>
        <w:t>SEGUNDA</w:t>
      </w:r>
      <w:r w:rsidR="008D5ED3">
        <w:rPr>
          <w:rFonts w:ascii="Century Gothic" w:eastAsiaTheme="minorHAnsi" w:hAnsi="Century Gothic" w:cs="Arial"/>
          <w:b/>
          <w:sz w:val="24"/>
          <w:szCs w:val="24"/>
          <w:lang w:val="es-ES_tradnl" w:eastAsia="es-ES_tradnl"/>
        </w:rPr>
        <w:t xml:space="preserve"> </w:t>
      </w:r>
      <w:r w:rsidR="004A66BC">
        <w:rPr>
          <w:rFonts w:ascii="Century Gothic" w:eastAsiaTheme="minorHAnsi" w:hAnsi="Century Gothic" w:cs="Arial"/>
          <w:b/>
          <w:sz w:val="24"/>
          <w:szCs w:val="24"/>
          <w:lang w:val="es-ES_tradnl" w:eastAsia="es-ES_tradnl"/>
        </w:rPr>
        <w:t xml:space="preserve">VUELTA </w:t>
      </w:r>
    </w:p>
    <w:p w14:paraId="63C5E960" w14:textId="77777777" w:rsidR="004B4D6E" w:rsidRPr="004B4D6E" w:rsidRDefault="004B4D6E" w:rsidP="004B4D6E">
      <w:pPr>
        <w:pStyle w:val="Prrafodelista"/>
        <w:spacing w:after="0" w:line="240" w:lineRule="auto"/>
        <w:ind w:left="0"/>
        <w:rPr>
          <w:rFonts w:ascii="Century Gothic" w:eastAsiaTheme="minorHAnsi" w:hAnsi="Century Gothic" w:cs="Arial"/>
          <w:b/>
          <w:sz w:val="24"/>
          <w:szCs w:val="24"/>
          <w:lang w:val="es-ES_tradnl" w:eastAsia="es-ES_tradnl"/>
        </w:rPr>
      </w:pPr>
    </w:p>
    <w:p w14:paraId="1B8DE574" w14:textId="0BEC2DC1" w:rsidR="0082060E" w:rsidRPr="00102503" w:rsidRDefault="004B4D6E" w:rsidP="0082060E">
      <w:pPr>
        <w:spacing w:after="240" w:line="276" w:lineRule="auto"/>
        <w:jc w:val="center"/>
        <w:rPr>
          <w:rFonts w:ascii="Century Gothic" w:hAnsi="Century Gothic" w:cs="Arial"/>
          <w:b/>
          <w:caps/>
        </w:rPr>
      </w:pPr>
      <w:r w:rsidRPr="004B4D6E">
        <w:rPr>
          <w:rFonts w:ascii="Century Gothic" w:hAnsi="Century Gothic" w:cs="Arial"/>
          <w:b/>
        </w:rPr>
        <w:t>PROYECTO DE ACTO LEGISLATIVO 001 DE 2019 CÁMARA (ACUMULADO CON EL PROYECTO DE ACTO LEGISLATIVO 047 DE 2019 CÁMARA) - PROYECTO DE ACTO LEGISLATIVO 021 DE 2019 SENADO</w:t>
      </w:r>
      <w:r w:rsidRPr="00102503">
        <w:rPr>
          <w:rFonts w:ascii="Century Gothic" w:hAnsi="Century Gothic" w:cs="Arial"/>
          <w:b/>
          <w:i/>
        </w:rPr>
        <w:t xml:space="preserve"> </w:t>
      </w:r>
      <w:r w:rsidR="0082060E" w:rsidRPr="00102503">
        <w:rPr>
          <w:rFonts w:ascii="Century Gothic" w:hAnsi="Century Gothic" w:cs="Arial"/>
          <w:b/>
          <w:i/>
        </w:rPr>
        <w:t xml:space="preserve">“POR MEDIO DEL CUAL SE MODIFICA EL ARTÍCULO 34 DE LA CONSTITUCIÓN POLÍTICA, SUPRIMIENDO LA PROHIBICIÓN DE LA PENA DE PRISIÓN PERPETUA Y ESTABLECIENDO LA PRISIÓN PERPETUA REVISABLE” – </w:t>
      </w:r>
      <w:r w:rsidR="0082060E" w:rsidRPr="00102503">
        <w:rPr>
          <w:rFonts w:ascii="Century Gothic" w:hAnsi="Century Gothic" w:cs="Arial"/>
          <w:b/>
        </w:rPr>
        <w:t>EN MEMORIA DE GILMA JIMÉNEZ</w:t>
      </w:r>
      <w:r w:rsidR="0082060E" w:rsidRPr="00102503">
        <w:rPr>
          <w:rFonts w:ascii="Century Gothic" w:hAnsi="Century Gothic" w:cs="Arial"/>
          <w:b/>
          <w:i/>
        </w:rPr>
        <w:t>.</w:t>
      </w:r>
    </w:p>
    <w:p w14:paraId="2DA85335" w14:textId="77777777" w:rsidR="0082060E" w:rsidRPr="00102503" w:rsidRDefault="0082060E" w:rsidP="0082060E">
      <w:pPr>
        <w:spacing w:after="240" w:line="276" w:lineRule="auto"/>
        <w:jc w:val="center"/>
        <w:rPr>
          <w:rFonts w:ascii="Century Gothic" w:hAnsi="Century Gothic" w:cs="Arial"/>
          <w:b/>
        </w:rPr>
      </w:pPr>
      <w:r w:rsidRPr="00102503">
        <w:rPr>
          <w:rFonts w:ascii="Century Gothic" w:hAnsi="Century Gothic" w:cs="Arial"/>
          <w:b/>
        </w:rPr>
        <w:t>El Congreso de Colombia</w:t>
      </w:r>
    </w:p>
    <w:p w14:paraId="2D8CD758" w14:textId="77777777" w:rsidR="0082060E" w:rsidRPr="00102503" w:rsidRDefault="0082060E" w:rsidP="0082060E">
      <w:pPr>
        <w:spacing w:line="276" w:lineRule="auto"/>
        <w:jc w:val="center"/>
        <w:rPr>
          <w:rFonts w:ascii="Century Gothic" w:hAnsi="Century Gothic" w:cs="Arial"/>
          <w:b/>
        </w:rPr>
      </w:pPr>
      <w:r w:rsidRPr="00102503">
        <w:rPr>
          <w:rFonts w:ascii="Century Gothic" w:hAnsi="Century Gothic" w:cs="Arial"/>
          <w:b/>
        </w:rPr>
        <w:t>DECRETA:</w:t>
      </w:r>
    </w:p>
    <w:p w14:paraId="0F2E2290" w14:textId="77777777" w:rsidR="0082060E" w:rsidRPr="00102503" w:rsidRDefault="0082060E" w:rsidP="0082060E">
      <w:pPr>
        <w:jc w:val="both"/>
        <w:rPr>
          <w:rFonts w:ascii="Century Gothic" w:hAnsi="Century Gothic" w:cs="Arial"/>
          <w:b/>
        </w:rPr>
      </w:pPr>
    </w:p>
    <w:p w14:paraId="77F0AEBF"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b/>
          <w:sz w:val="24"/>
          <w:szCs w:val="24"/>
        </w:rPr>
        <w:t>Artículo 1°.</w:t>
      </w:r>
      <w:r w:rsidRPr="00102503">
        <w:rPr>
          <w:rFonts w:ascii="Century Gothic" w:eastAsia="Times New Roman" w:hAnsi="Century Gothic" w:cs="Arial"/>
          <w:sz w:val="24"/>
          <w:szCs w:val="24"/>
        </w:rPr>
        <w:t xml:space="preserve"> Modifíquese el artículo 34 de la Constitución Política, el cual quedará así: </w:t>
      </w:r>
    </w:p>
    <w:p w14:paraId="676CDDAE" w14:textId="77777777" w:rsidR="0082060E" w:rsidRPr="00102503" w:rsidRDefault="0082060E" w:rsidP="0082060E">
      <w:pPr>
        <w:pStyle w:val="Prrafodelista"/>
        <w:spacing w:line="240" w:lineRule="auto"/>
        <w:ind w:left="0"/>
        <w:jc w:val="both"/>
        <w:rPr>
          <w:rFonts w:ascii="Century Gothic" w:eastAsia="Times New Roman" w:hAnsi="Century Gothic" w:cs="Arial"/>
          <w:sz w:val="24"/>
          <w:szCs w:val="24"/>
        </w:rPr>
      </w:pPr>
    </w:p>
    <w:p w14:paraId="568145A2"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 xml:space="preserve">Artículo 34. Se prohíben penas de destierro y confiscación. </w:t>
      </w:r>
    </w:p>
    <w:p w14:paraId="3859477F" w14:textId="77777777" w:rsidR="0082060E" w:rsidRPr="00102503" w:rsidRDefault="0082060E" w:rsidP="0082060E">
      <w:pPr>
        <w:pStyle w:val="Prrafodelista"/>
        <w:spacing w:line="240" w:lineRule="auto"/>
        <w:ind w:left="0"/>
        <w:jc w:val="both"/>
        <w:rPr>
          <w:rFonts w:ascii="Century Gothic" w:eastAsia="Times New Roman" w:hAnsi="Century Gothic" w:cs="Arial"/>
          <w:sz w:val="24"/>
          <w:szCs w:val="24"/>
        </w:rPr>
      </w:pPr>
    </w:p>
    <w:p w14:paraId="54189F57"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 xml:space="preserve">No obstante, por sentencia judicial, se declara extinguido el dominio sobre los bienes adquiridos mediante enriquecimiento ilícito, en perjuicio del Tesoro Público o con grave deterioro de la moral social. </w:t>
      </w:r>
    </w:p>
    <w:p w14:paraId="4FA59C07" w14:textId="77777777" w:rsidR="0082060E" w:rsidRPr="00102503" w:rsidRDefault="0082060E" w:rsidP="0082060E">
      <w:pPr>
        <w:pStyle w:val="Prrafodelista"/>
        <w:spacing w:line="240" w:lineRule="auto"/>
        <w:ind w:left="0"/>
        <w:jc w:val="both"/>
        <w:rPr>
          <w:rFonts w:ascii="Century Gothic" w:eastAsia="Times New Roman" w:hAnsi="Century Gothic" w:cs="Arial"/>
          <w:sz w:val="24"/>
          <w:szCs w:val="24"/>
        </w:rPr>
      </w:pPr>
    </w:p>
    <w:p w14:paraId="1F5FA711"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De manera excepcional cuando un niño, niña o adolescente sea víctima de las conductas de homicidio en modalidad dolosa, acceso carnal o actos sexuales que impliquen violencia o esté en incapacidad de resistir, se podrá imponer como sanción hasta la pena de prisión perpetua.</w:t>
      </w:r>
    </w:p>
    <w:p w14:paraId="3398E795" w14:textId="77777777" w:rsidR="0082060E" w:rsidRPr="00102503" w:rsidRDefault="0082060E" w:rsidP="0082060E">
      <w:pPr>
        <w:pStyle w:val="Prrafodelista"/>
        <w:spacing w:after="0" w:line="240" w:lineRule="auto"/>
        <w:ind w:left="0"/>
        <w:jc w:val="both"/>
        <w:rPr>
          <w:rFonts w:ascii="Century Gothic" w:eastAsia="Times New Roman" w:hAnsi="Century Gothic" w:cs="Arial"/>
          <w:sz w:val="24"/>
          <w:szCs w:val="24"/>
        </w:rPr>
      </w:pPr>
    </w:p>
    <w:p w14:paraId="0BF8FFA5" w14:textId="77777777" w:rsidR="0082060E" w:rsidRPr="00102503" w:rsidRDefault="0082060E" w:rsidP="0082060E">
      <w:pPr>
        <w:pStyle w:val="Prrafodelista"/>
        <w:ind w:left="0"/>
        <w:jc w:val="both"/>
        <w:rPr>
          <w:rFonts w:ascii="Century Gothic" w:eastAsia="Times New Roman" w:hAnsi="Century Gothic" w:cs="Arial"/>
          <w:sz w:val="24"/>
          <w:szCs w:val="24"/>
        </w:rPr>
      </w:pPr>
      <w:r w:rsidRPr="00102503">
        <w:rPr>
          <w:rFonts w:ascii="Century Gothic" w:eastAsia="Times New Roman" w:hAnsi="Century Gothic" w:cs="Arial"/>
          <w:sz w:val="24"/>
          <w:szCs w:val="24"/>
        </w:rPr>
        <w:t xml:space="preserve">Toda pena de prisión perpetua tendrá control automático ante el superior jerárquico.  </w:t>
      </w:r>
    </w:p>
    <w:p w14:paraId="6A741F7A" w14:textId="77777777" w:rsidR="0082060E" w:rsidRPr="00102503" w:rsidRDefault="0082060E" w:rsidP="0082060E">
      <w:pPr>
        <w:spacing w:line="276" w:lineRule="auto"/>
        <w:jc w:val="both"/>
        <w:textAlignment w:val="center"/>
        <w:rPr>
          <w:rFonts w:ascii="Century Gothic" w:hAnsi="Century Gothic" w:cs="Arial"/>
        </w:rPr>
      </w:pPr>
      <w:r w:rsidRPr="00102503">
        <w:rPr>
          <w:rFonts w:ascii="Century Gothic" w:hAnsi="Century Gothic" w:cs="Arial"/>
        </w:rPr>
        <w:t>En todo caso la pena deberá ser revisada en un plazo no inferior a veinticinco (25) años, para evaluar la resocialización del condenado.</w:t>
      </w:r>
    </w:p>
    <w:p w14:paraId="3A611E72" w14:textId="77777777" w:rsidR="0082060E" w:rsidRPr="00102503" w:rsidRDefault="0082060E" w:rsidP="0082060E">
      <w:pPr>
        <w:jc w:val="both"/>
        <w:textAlignment w:val="center"/>
        <w:rPr>
          <w:rFonts w:ascii="Century Gothic" w:hAnsi="Century Gothic" w:cs="Arial"/>
        </w:rPr>
      </w:pPr>
    </w:p>
    <w:p w14:paraId="52E24442" w14:textId="4E0B35F0" w:rsidR="0082060E" w:rsidRDefault="0082060E" w:rsidP="008D5ED3">
      <w:pPr>
        <w:spacing w:line="276" w:lineRule="auto"/>
        <w:jc w:val="both"/>
        <w:textAlignment w:val="center"/>
        <w:rPr>
          <w:rFonts w:ascii="Century Gothic" w:hAnsi="Century Gothic" w:cs="Arial"/>
        </w:rPr>
      </w:pPr>
      <w:r w:rsidRPr="00102503">
        <w:rPr>
          <w:rFonts w:ascii="Century Gothic" w:hAnsi="Century Gothic" w:cs="Arial"/>
          <w:b/>
        </w:rPr>
        <w:t xml:space="preserve">Parágrafo transitorio: </w:t>
      </w:r>
      <w:r w:rsidRPr="00102503">
        <w:rPr>
          <w:rFonts w:ascii="Century Gothic" w:hAnsi="Century Gothic" w:cs="Arial"/>
        </w:rPr>
        <w:t xml:space="preserve">El Gobierno Nacional contará con un (1) año contado a partir de la fecha de promulgación del presente acto legislativo, para radicar ante el Congreso de la República el proyecto de ley que reglamente la </w:t>
      </w:r>
      <w:r w:rsidR="00FA623A">
        <w:rPr>
          <w:rFonts w:ascii="Century Gothic" w:hAnsi="Century Gothic" w:cs="Arial"/>
        </w:rPr>
        <w:t xml:space="preserve">prisión perpetua. </w:t>
      </w:r>
    </w:p>
    <w:p w14:paraId="33D803C0" w14:textId="77777777" w:rsidR="00FA623A" w:rsidRPr="00102503" w:rsidRDefault="00FA623A" w:rsidP="008D5ED3">
      <w:pPr>
        <w:spacing w:line="276" w:lineRule="auto"/>
        <w:jc w:val="both"/>
        <w:textAlignment w:val="center"/>
        <w:rPr>
          <w:rFonts w:ascii="Century Gothic" w:hAnsi="Century Gothic" w:cs="Arial"/>
        </w:rPr>
      </w:pPr>
    </w:p>
    <w:p w14:paraId="4D6171BD" w14:textId="77777777" w:rsidR="0082060E" w:rsidRPr="00102503" w:rsidRDefault="0082060E" w:rsidP="0082060E">
      <w:pPr>
        <w:spacing w:line="276" w:lineRule="auto"/>
        <w:jc w:val="both"/>
        <w:textAlignment w:val="center"/>
        <w:rPr>
          <w:rFonts w:ascii="Century Gothic" w:hAnsi="Century Gothic" w:cs="Arial"/>
        </w:rPr>
      </w:pPr>
      <w:r w:rsidRPr="00102503">
        <w:rPr>
          <w:rFonts w:ascii="Century Gothic" w:hAnsi="Century Gothic" w:cs="Arial"/>
        </w:rPr>
        <w:lastRenderedPageBreak/>
        <w:t>Se deberá formular en el mismo término, una política pública integral que desarrolle la protección de niños, niñas y adolescentes; principalmente fundamentados en las alertas tempranas, educación, prevención, judicialización, condena y acompañamiento psicológico.</w:t>
      </w:r>
    </w:p>
    <w:p w14:paraId="2E5550BA" w14:textId="77777777" w:rsidR="0082060E" w:rsidRPr="00102503" w:rsidRDefault="0082060E" w:rsidP="0082060E">
      <w:pPr>
        <w:spacing w:line="276" w:lineRule="auto"/>
        <w:jc w:val="both"/>
        <w:textAlignment w:val="center"/>
        <w:rPr>
          <w:rFonts w:ascii="Century Gothic" w:hAnsi="Century Gothic" w:cs="Arial"/>
          <w:b/>
        </w:rPr>
      </w:pPr>
    </w:p>
    <w:p w14:paraId="1A06CD15" w14:textId="77777777" w:rsidR="0082060E" w:rsidRPr="00102503" w:rsidRDefault="0082060E" w:rsidP="0082060E">
      <w:pPr>
        <w:spacing w:line="276" w:lineRule="auto"/>
        <w:jc w:val="both"/>
        <w:rPr>
          <w:rFonts w:ascii="Century Gothic" w:hAnsi="Century Gothic" w:cs="Arial"/>
        </w:rPr>
      </w:pPr>
      <w:r w:rsidRPr="00102503">
        <w:rPr>
          <w:rFonts w:ascii="Century Gothic" w:hAnsi="Century Gothic" w:cs="Arial"/>
          <w:b/>
        </w:rPr>
        <w:t>Artículo 2º.</w:t>
      </w:r>
      <w:r w:rsidRPr="00102503">
        <w:rPr>
          <w:rFonts w:ascii="Century Gothic" w:hAnsi="Century Gothic" w:cs="Arial"/>
        </w:rPr>
        <w:t xml:space="preserve"> El presente acto legislativo rige a partir de la fecha de su promulgación.</w:t>
      </w:r>
    </w:p>
    <w:p w14:paraId="36060E0D" w14:textId="77777777" w:rsidR="0082060E" w:rsidRDefault="0082060E" w:rsidP="0082060E">
      <w:pPr>
        <w:jc w:val="both"/>
        <w:rPr>
          <w:rFonts w:ascii="Century Gothic" w:hAnsi="Century Gothic" w:cs="Arial"/>
        </w:rPr>
      </w:pPr>
    </w:p>
    <w:p w14:paraId="21D18DE0" w14:textId="77777777" w:rsidR="00144872" w:rsidRDefault="00144872" w:rsidP="00144872">
      <w:pPr>
        <w:spacing w:after="240" w:line="276" w:lineRule="auto"/>
        <w:jc w:val="both"/>
        <w:rPr>
          <w:rFonts w:ascii="Century Gothic" w:hAnsi="Century Gothic" w:cs="Arial"/>
          <w:i/>
        </w:rPr>
      </w:pPr>
      <w:r w:rsidRPr="002D6F59">
        <w:rPr>
          <w:rFonts w:ascii="Century Gothic" w:hAnsi="Century Gothic" w:cs="Arial"/>
        </w:rPr>
        <w:t>Cordialmente,</w:t>
      </w:r>
    </w:p>
    <w:p w14:paraId="7F3C923A" w14:textId="77777777" w:rsidR="00144872" w:rsidRDefault="00144872" w:rsidP="00144872">
      <w:pPr>
        <w:spacing w:after="240" w:line="276" w:lineRule="auto"/>
        <w:jc w:val="both"/>
        <w:rPr>
          <w:rFonts w:ascii="Century Gothic" w:hAnsi="Century Gothic" w:cs="Arial"/>
          <w:i/>
        </w:rPr>
      </w:pPr>
    </w:p>
    <w:p w14:paraId="51C2C2B1" w14:textId="77777777" w:rsidR="00144872" w:rsidRPr="008E64C8" w:rsidRDefault="00144872" w:rsidP="00144872">
      <w:pPr>
        <w:jc w:val="both"/>
        <w:rPr>
          <w:rFonts w:ascii="Century Gothic" w:hAnsi="Century Gothic" w:cs="Arial"/>
          <w:i/>
        </w:rPr>
      </w:pPr>
    </w:p>
    <w:p w14:paraId="37B3D173" w14:textId="77777777" w:rsidR="00144872" w:rsidRPr="002D6F59" w:rsidRDefault="00144872" w:rsidP="00144872">
      <w:pPr>
        <w:spacing w:line="276" w:lineRule="auto"/>
        <w:jc w:val="both"/>
        <w:rPr>
          <w:rFonts w:ascii="Century Gothic" w:hAnsi="Century Gothic" w:cs="Arial"/>
          <w:b/>
        </w:rPr>
      </w:pPr>
      <w:r w:rsidRPr="002D6F59">
        <w:rPr>
          <w:rFonts w:ascii="Century Gothic" w:hAnsi="Century Gothic" w:cs="Arial"/>
          <w:b/>
        </w:rPr>
        <w:t xml:space="preserve">ADRIANA MAGALI MATIZ VARGAS-C </w:t>
      </w:r>
      <w:r>
        <w:rPr>
          <w:rFonts w:ascii="Century Gothic" w:hAnsi="Century Gothic" w:cs="Arial"/>
          <w:b/>
        </w:rPr>
        <w:t xml:space="preserve">      </w:t>
      </w:r>
      <w:r w:rsidRPr="002D6F59">
        <w:rPr>
          <w:rFonts w:ascii="Century Gothic" w:hAnsi="Century Gothic" w:cs="Arial"/>
          <w:b/>
        </w:rPr>
        <w:t>CESAR AUGUSTO LORDUY MALDONADO</w:t>
      </w:r>
    </w:p>
    <w:p w14:paraId="0876F7C1" w14:textId="77777777" w:rsidR="00144872" w:rsidRDefault="00144872" w:rsidP="00144872">
      <w:pPr>
        <w:spacing w:line="276" w:lineRule="auto"/>
        <w:jc w:val="both"/>
        <w:rPr>
          <w:rFonts w:ascii="Century Gothic" w:hAnsi="Century Gothic" w:cs="Arial"/>
        </w:rPr>
      </w:pPr>
      <w:r w:rsidRPr="002D6F59">
        <w:rPr>
          <w:rFonts w:ascii="Century Gothic" w:hAnsi="Century Gothic" w:cs="Arial"/>
          <w:b/>
        </w:rPr>
        <w:t xml:space="preserve">         </w:t>
      </w:r>
      <w:r w:rsidRPr="002D6F59">
        <w:rPr>
          <w:rFonts w:ascii="Century Gothic" w:hAnsi="Century Gothic" w:cs="Arial"/>
        </w:rPr>
        <w:t xml:space="preserve">Representante a la Cámara               </w:t>
      </w:r>
      <w:r>
        <w:rPr>
          <w:rFonts w:ascii="Century Gothic" w:hAnsi="Century Gothic" w:cs="Arial"/>
        </w:rPr>
        <w:t xml:space="preserve">       Representante a la Cámara </w:t>
      </w:r>
    </w:p>
    <w:p w14:paraId="570B6BD2" w14:textId="77777777" w:rsidR="00144872" w:rsidRDefault="00144872" w:rsidP="00144872">
      <w:pPr>
        <w:spacing w:line="276" w:lineRule="auto"/>
        <w:jc w:val="both"/>
        <w:rPr>
          <w:rFonts w:ascii="Century Gothic" w:hAnsi="Century Gothic" w:cs="Arial"/>
        </w:rPr>
      </w:pPr>
    </w:p>
    <w:p w14:paraId="6C3446C8" w14:textId="77777777" w:rsidR="00144872" w:rsidRDefault="00144872" w:rsidP="00144872">
      <w:pPr>
        <w:spacing w:line="276" w:lineRule="auto"/>
        <w:jc w:val="both"/>
        <w:rPr>
          <w:rFonts w:ascii="Century Gothic" w:hAnsi="Century Gothic" w:cs="Arial"/>
        </w:rPr>
      </w:pPr>
      <w:r>
        <w:rPr>
          <w:rFonts w:ascii="Century Gothic" w:hAnsi="Century Gothic" w:cs="Arial"/>
        </w:rPr>
        <w:t xml:space="preserve">                            </w:t>
      </w:r>
    </w:p>
    <w:p w14:paraId="2C8C4B49" w14:textId="77777777" w:rsidR="00144872" w:rsidRPr="008E64C8" w:rsidRDefault="00144872" w:rsidP="00144872">
      <w:pPr>
        <w:spacing w:line="276" w:lineRule="auto"/>
        <w:jc w:val="both"/>
        <w:rPr>
          <w:rFonts w:ascii="Century Gothic" w:hAnsi="Century Gothic" w:cs="Arial"/>
        </w:rPr>
      </w:pPr>
    </w:p>
    <w:p w14:paraId="1D310743" w14:textId="77777777" w:rsidR="00144872" w:rsidRPr="002D6F59" w:rsidRDefault="00144872" w:rsidP="00144872">
      <w:pPr>
        <w:spacing w:line="276" w:lineRule="auto"/>
        <w:jc w:val="both"/>
        <w:rPr>
          <w:rFonts w:ascii="Century Gothic" w:hAnsi="Century Gothic" w:cs="Arial"/>
          <w:b/>
        </w:rPr>
      </w:pPr>
      <w:r w:rsidRPr="002D6F59">
        <w:rPr>
          <w:rFonts w:ascii="Century Gothic" w:hAnsi="Century Gothic" w:cs="Arial"/>
          <w:b/>
        </w:rPr>
        <w:t xml:space="preserve">HARRY GIOVANNY GONZÁLEZ GARCIA     </w:t>
      </w:r>
      <w:r>
        <w:rPr>
          <w:rFonts w:ascii="Century Gothic" w:hAnsi="Century Gothic" w:cs="Arial"/>
          <w:b/>
        </w:rPr>
        <w:t xml:space="preserve">  </w:t>
      </w:r>
      <w:r w:rsidRPr="002D6F59">
        <w:rPr>
          <w:rFonts w:ascii="Century Gothic" w:hAnsi="Century Gothic" w:cs="Arial"/>
          <w:b/>
        </w:rPr>
        <w:t xml:space="preserve"> JOSÉ JAIME USCATEGUI PASTRANA                                       </w:t>
      </w:r>
    </w:p>
    <w:p w14:paraId="7CF063B6" w14:textId="77777777" w:rsidR="00144872" w:rsidRPr="00FA6997" w:rsidRDefault="00144872" w:rsidP="00144872">
      <w:pPr>
        <w:spacing w:line="276" w:lineRule="auto"/>
        <w:jc w:val="both"/>
        <w:rPr>
          <w:rFonts w:ascii="Century Gothic" w:hAnsi="Century Gothic" w:cs="Arial"/>
        </w:rPr>
      </w:pPr>
      <w:r>
        <w:rPr>
          <w:rFonts w:ascii="Century Gothic" w:hAnsi="Century Gothic" w:cs="Arial"/>
        </w:rPr>
        <w:t xml:space="preserve">        </w:t>
      </w:r>
      <w:r w:rsidRPr="002D6F59">
        <w:rPr>
          <w:rFonts w:ascii="Century Gothic" w:hAnsi="Century Gothic" w:cs="Arial"/>
        </w:rPr>
        <w:t xml:space="preserve">  Representante a la Cámara     </w:t>
      </w:r>
      <w:r>
        <w:rPr>
          <w:rFonts w:ascii="Century Gothic" w:hAnsi="Century Gothic" w:cs="Arial"/>
        </w:rPr>
        <w:t xml:space="preserve">             </w:t>
      </w:r>
      <w:r w:rsidRPr="002D6F59">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2D2E3D2C" w14:textId="77777777" w:rsidR="00144872" w:rsidRDefault="00144872" w:rsidP="00144872">
      <w:pPr>
        <w:spacing w:line="276" w:lineRule="auto"/>
        <w:jc w:val="both"/>
        <w:rPr>
          <w:rFonts w:ascii="Century Gothic" w:hAnsi="Century Gothic" w:cs="Arial"/>
          <w:b/>
        </w:rPr>
      </w:pPr>
    </w:p>
    <w:p w14:paraId="61ED84CB" w14:textId="77777777" w:rsidR="00144872" w:rsidRDefault="00144872" w:rsidP="00144872">
      <w:pPr>
        <w:spacing w:line="276" w:lineRule="auto"/>
        <w:jc w:val="both"/>
        <w:rPr>
          <w:rFonts w:ascii="Century Gothic" w:hAnsi="Century Gothic" w:cs="Arial"/>
          <w:b/>
        </w:rPr>
      </w:pPr>
    </w:p>
    <w:p w14:paraId="700C4858" w14:textId="77777777" w:rsidR="00144872" w:rsidRPr="002D6F59" w:rsidRDefault="00144872" w:rsidP="00144872">
      <w:pPr>
        <w:spacing w:line="276" w:lineRule="auto"/>
        <w:jc w:val="both"/>
        <w:rPr>
          <w:rFonts w:ascii="Century Gothic" w:hAnsi="Century Gothic" w:cs="Arial"/>
          <w:b/>
        </w:rPr>
      </w:pPr>
    </w:p>
    <w:p w14:paraId="224047B0" w14:textId="77777777" w:rsidR="00144872" w:rsidRPr="002D6F59" w:rsidRDefault="00144872" w:rsidP="00144872">
      <w:pPr>
        <w:spacing w:line="276" w:lineRule="auto"/>
        <w:jc w:val="both"/>
        <w:rPr>
          <w:rFonts w:ascii="Century Gothic" w:hAnsi="Century Gothic" w:cs="Arial"/>
          <w:b/>
        </w:rPr>
      </w:pPr>
      <w:r w:rsidRPr="002D6F59">
        <w:rPr>
          <w:rFonts w:ascii="Century Gothic" w:hAnsi="Century Gothic" w:cs="Arial"/>
          <w:b/>
        </w:rPr>
        <w:t xml:space="preserve"> </w:t>
      </w:r>
      <w:r>
        <w:rPr>
          <w:rFonts w:ascii="Century Gothic" w:hAnsi="Century Gothic" w:cs="Arial"/>
          <w:b/>
        </w:rPr>
        <w:t xml:space="preserve">             </w:t>
      </w:r>
      <w:r w:rsidRPr="002D6F59">
        <w:rPr>
          <w:rFonts w:ascii="Century Gothic" w:hAnsi="Century Gothic" w:cs="Arial"/>
          <w:b/>
        </w:rPr>
        <w:t xml:space="preserve"> ELBERT DIAZ LOZANO</w:t>
      </w:r>
      <w:r>
        <w:rPr>
          <w:rFonts w:ascii="Century Gothic" w:hAnsi="Century Gothic" w:cs="Arial"/>
          <w:b/>
        </w:rPr>
        <w:t xml:space="preserve">                         </w:t>
      </w:r>
      <w:r w:rsidRPr="00BB314B">
        <w:rPr>
          <w:rFonts w:ascii="Century Gothic" w:hAnsi="Century Gothic" w:cs="Arial"/>
          <w:b/>
        </w:rPr>
        <w:t>CARLOS GERMÁN NAVAS TALERO</w:t>
      </w:r>
      <w:r>
        <w:rPr>
          <w:rFonts w:ascii="Century Gothic" w:hAnsi="Century Gothic" w:cs="Arial"/>
          <w:b/>
        </w:rPr>
        <w:t xml:space="preserve">                                 </w:t>
      </w:r>
    </w:p>
    <w:p w14:paraId="170AFE30" w14:textId="77777777" w:rsidR="00144872" w:rsidRPr="002D6F59" w:rsidRDefault="00144872" w:rsidP="00144872">
      <w:pPr>
        <w:spacing w:line="276" w:lineRule="auto"/>
        <w:jc w:val="both"/>
        <w:rPr>
          <w:rFonts w:ascii="Century Gothic" w:hAnsi="Century Gothic" w:cs="Arial"/>
        </w:rPr>
      </w:pPr>
      <w:r>
        <w:rPr>
          <w:rFonts w:ascii="Century Gothic" w:hAnsi="Century Gothic" w:cs="Arial"/>
        </w:rPr>
        <w:t xml:space="preserve">      </w:t>
      </w:r>
      <w:r w:rsidRPr="002D6F59">
        <w:rPr>
          <w:rFonts w:ascii="Century Gothic" w:hAnsi="Century Gothic" w:cs="Arial"/>
        </w:rPr>
        <w:t xml:space="preserve"> Representante a la Cámara</w:t>
      </w:r>
      <w:r w:rsidRPr="00BB314B">
        <w:rPr>
          <w:rFonts w:ascii="Century Gothic" w:hAnsi="Century Gothic" w:cs="Arial"/>
        </w:rPr>
        <w:t xml:space="preserve"> </w:t>
      </w:r>
      <w:r>
        <w:rPr>
          <w:rFonts w:ascii="Century Gothic" w:hAnsi="Century Gothic" w:cs="Arial"/>
        </w:rPr>
        <w:t xml:space="preserve">                       </w:t>
      </w:r>
      <w:r w:rsidRPr="002D6F59">
        <w:rPr>
          <w:rFonts w:ascii="Century Gothic" w:hAnsi="Century Gothic" w:cs="Arial"/>
        </w:rPr>
        <w:t>Representante a la Cámara</w:t>
      </w:r>
    </w:p>
    <w:p w14:paraId="1BC62359" w14:textId="77777777" w:rsidR="00144872" w:rsidRDefault="00144872" w:rsidP="00144872">
      <w:pPr>
        <w:spacing w:after="240" w:line="276" w:lineRule="auto"/>
        <w:jc w:val="both"/>
        <w:rPr>
          <w:rFonts w:ascii="Century Gothic" w:hAnsi="Century Gothic" w:cs="Arial"/>
        </w:rPr>
      </w:pPr>
    </w:p>
    <w:p w14:paraId="1B46D1BE" w14:textId="77777777" w:rsidR="00144872" w:rsidRPr="002D6F59" w:rsidRDefault="00144872" w:rsidP="00144872">
      <w:pPr>
        <w:spacing w:after="240" w:line="276" w:lineRule="auto"/>
        <w:jc w:val="both"/>
        <w:rPr>
          <w:rFonts w:ascii="Century Gothic" w:hAnsi="Century Gothic" w:cs="Arial"/>
        </w:rPr>
      </w:pPr>
    </w:p>
    <w:p w14:paraId="06E939A6" w14:textId="77777777" w:rsidR="00144872" w:rsidRPr="002D6F59" w:rsidRDefault="00144872" w:rsidP="00144872">
      <w:pPr>
        <w:spacing w:line="276" w:lineRule="auto"/>
        <w:jc w:val="center"/>
        <w:rPr>
          <w:rFonts w:ascii="Century Gothic" w:hAnsi="Century Gothic" w:cs="Arial"/>
          <w:sz w:val="22"/>
          <w:szCs w:val="22"/>
        </w:rPr>
      </w:pPr>
      <w:r w:rsidRPr="00BB314B">
        <w:rPr>
          <w:rFonts w:ascii="Century Gothic" w:hAnsi="Century Gothic" w:cs="Arial"/>
          <w:b/>
        </w:rPr>
        <w:t>LUIS ALBERTO ALBÁN</w:t>
      </w:r>
    </w:p>
    <w:p w14:paraId="3C553DB1" w14:textId="77777777" w:rsidR="00144872" w:rsidRDefault="00144872" w:rsidP="00144872">
      <w:pPr>
        <w:spacing w:line="276" w:lineRule="auto"/>
        <w:jc w:val="center"/>
        <w:rPr>
          <w:rFonts w:ascii="Century Gothic" w:hAnsi="Century Gothic" w:cs="Arial"/>
        </w:rPr>
      </w:pPr>
      <w:r w:rsidRPr="002D6F59">
        <w:rPr>
          <w:rFonts w:ascii="Century Gothic" w:hAnsi="Century Gothic" w:cs="Arial"/>
        </w:rPr>
        <w:t>Representante a la Cámara</w:t>
      </w:r>
    </w:p>
    <w:p w14:paraId="245E28FB" w14:textId="74852648" w:rsidR="00313A99" w:rsidRDefault="002A000A" w:rsidP="00313A99">
      <w:pPr>
        <w:spacing w:after="240" w:line="276" w:lineRule="auto"/>
        <w:jc w:val="both"/>
        <w:rPr>
          <w:rFonts w:ascii="Century Gothic" w:hAnsi="Century Gothic" w:cs="Arial"/>
          <w:i/>
        </w:rPr>
      </w:pPr>
      <w:bookmarkStart w:id="7" w:name="_GoBack"/>
      <w:bookmarkEnd w:id="7"/>
      <w:r>
        <w:rPr>
          <w:rFonts w:ascii="Century Gothic" w:hAnsi="Century Gothic" w:cs="Arial"/>
          <w:i/>
        </w:rPr>
        <w:t xml:space="preserve">                    </w:t>
      </w:r>
    </w:p>
    <w:p w14:paraId="331A907E" w14:textId="77777777" w:rsidR="00221F78" w:rsidRDefault="00221F78" w:rsidP="00313A99">
      <w:pPr>
        <w:spacing w:after="240" w:line="276" w:lineRule="auto"/>
        <w:jc w:val="both"/>
        <w:rPr>
          <w:rFonts w:ascii="Century Gothic" w:hAnsi="Century Gothic" w:cs="Arial"/>
          <w:i/>
        </w:rPr>
      </w:pPr>
    </w:p>
    <w:p w14:paraId="15096ED9" w14:textId="1CE381A3" w:rsidR="00DA4B9B" w:rsidRDefault="00DA4B9B" w:rsidP="00FA6997">
      <w:pPr>
        <w:spacing w:line="276" w:lineRule="auto"/>
        <w:rPr>
          <w:rFonts w:ascii="Century Gothic" w:hAnsi="Century Gothic" w:cs="Arial"/>
        </w:rPr>
      </w:pPr>
    </w:p>
    <w:sectPr w:rsidR="00DA4B9B" w:rsidSect="005307FA">
      <w:headerReference w:type="default" r:id="rId27"/>
      <w:footerReference w:type="default" r:id="rId28"/>
      <w:pgSz w:w="12240" w:h="15840" w:code="1"/>
      <w:pgMar w:top="1418" w:right="1701" w:bottom="1418"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AD4D" w14:textId="77777777" w:rsidR="00946331" w:rsidRDefault="00946331" w:rsidP="00325533">
      <w:r>
        <w:separator/>
      </w:r>
    </w:p>
  </w:endnote>
  <w:endnote w:type="continuationSeparator" w:id="0">
    <w:p w14:paraId="253BC1FE" w14:textId="77777777" w:rsidR="00946331" w:rsidRDefault="00946331" w:rsidP="0032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BD32" w14:textId="77777777" w:rsidR="006B62F4" w:rsidRDefault="006B62F4" w:rsidP="00793F85">
    <w:pPr>
      <w:pStyle w:val="Piedepgina"/>
      <w:jc w:val="center"/>
    </w:pPr>
    <w:r w:rsidRPr="00CC3C2A">
      <w:rPr>
        <w:noProof/>
        <w:sz w:val="16"/>
        <w:szCs w:val="16"/>
        <w:lang w:eastAsia="es-CO"/>
      </w:rPr>
      <w:drawing>
        <wp:inline distT="0" distB="0" distL="0" distR="0" wp14:anchorId="3940EA2A" wp14:editId="0A64218E">
          <wp:extent cx="3114155" cy="2844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967" cy="290058"/>
                  </a:xfrm>
                  <a:prstGeom prst="rect">
                    <a:avLst/>
                  </a:prstGeom>
                  <a:noFill/>
                  <a:ln>
                    <a:noFill/>
                  </a:ln>
                </pic:spPr>
              </pic:pic>
            </a:graphicData>
          </a:graphic>
        </wp:inline>
      </w:drawing>
    </w:r>
  </w:p>
  <w:p w14:paraId="1B3C1264" w14:textId="5007A719" w:rsidR="006B62F4" w:rsidRPr="00CB3AB0" w:rsidRDefault="006B62F4" w:rsidP="00793F85">
    <w:pPr>
      <w:pStyle w:val="Piedepgina"/>
      <w:jc w:val="center"/>
      <w:rPr>
        <w:rFonts w:ascii="Century Gothic" w:hAnsi="Century Gothic"/>
        <w:sz w:val="18"/>
        <w:szCs w:val="18"/>
      </w:rPr>
    </w:pPr>
    <w:r w:rsidRPr="00CB3AB0">
      <w:rPr>
        <w:rFonts w:ascii="Century Gothic" w:hAnsi="Century Gothic"/>
        <w:spacing w:val="60"/>
        <w:sz w:val="18"/>
        <w:szCs w:val="18"/>
      </w:rPr>
      <w:t xml:space="preserve">Cra. 7ª No. 8-68 </w:t>
    </w:r>
  </w:p>
  <w:p w14:paraId="69151ED2" w14:textId="77301D25" w:rsidR="006B62F4" w:rsidRPr="00CB3AB0" w:rsidRDefault="006B62F4" w:rsidP="00793F85">
    <w:pPr>
      <w:pStyle w:val="Piedepgina"/>
      <w:jc w:val="center"/>
      <w:rPr>
        <w:rFonts w:ascii="Century Gothic" w:hAnsi="Century Gothic"/>
        <w:sz w:val="18"/>
        <w:szCs w:val="18"/>
      </w:rPr>
    </w:pPr>
    <w:r w:rsidRPr="00CB3AB0">
      <w:rPr>
        <w:rFonts w:ascii="Century Gothic" w:hAnsi="Century Gothic"/>
        <w:spacing w:val="60"/>
        <w:sz w:val="18"/>
        <w:szCs w:val="18"/>
      </w:rPr>
      <w:t>Bogotá, D.C. -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4E532" w14:textId="77777777" w:rsidR="00946331" w:rsidRDefault="00946331" w:rsidP="00325533">
      <w:r>
        <w:separator/>
      </w:r>
    </w:p>
  </w:footnote>
  <w:footnote w:type="continuationSeparator" w:id="0">
    <w:p w14:paraId="4A7F67F9" w14:textId="77777777" w:rsidR="00946331" w:rsidRDefault="00946331" w:rsidP="00325533">
      <w:r>
        <w:continuationSeparator/>
      </w:r>
    </w:p>
  </w:footnote>
  <w:footnote w:id="1">
    <w:p w14:paraId="3CB25E0A" w14:textId="61CBBD41" w:rsidR="006B62F4" w:rsidRPr="00094F1F" w:rsidRDefault="006B62F4" w:rsidP="00BC121A">
      <w:pPr>
        <w:pStyle w:val="Textonotapie"/>
        <w:jc w:val="both"/>
        <w:rPr>
          <w:rFonts w:ascii="Century Gothic" w:hAnsi="Century Gothic"/>
          <w:sz w:val="14"/>
          <w:szCs w:val="14"/>
        </w:rPr>
      </w:pPr>
      <w:r w:rsidRPr="00094F1F">
        <w:rPr>
          <w:rStyle w:val="Refdenotaalpie"/>
          <w:rFonts w:ascii="Century Gothic" w:hAnsi="Century Gothic"/>
          <w:sz w:val="14"/>
          <w:szCs w:val="14"/>
        </w:rPr>
        <w:footnoteRef/>
      </w:r>
      <w:r w:rsidRPr="00094F1F">
        <w:rPr>
          <w:rFonts w:ascii="Century Gothic" w:hAnsi="Century Gothic"/>
          <w:sz w:val="14"/>
          <w:szCs w:val="14"/>
        </w:rPr>
        <w:t xml:space="preserve"> </w:t>
      </w:r>
      <w:hyperlink r:id="rId1" w:history="1">
        <w:r w:rsidRPr="00094F1F">
          <w:rPr>
            <w:rStyle w:val="Hipervnculo"/>
            <w:rFonts w:ascii="Century Gothic" w:hAnsi="Century Gothic"/>
            <w:sz w:val="14"/>
            <w:szCs w:val="14"/>
          </w:rPr>
          <w:t>https://www.unicef.org/protection/files/Evidence_Review_SEA_(Radford_et_al)(final).pdf</w:t>
        </w:r>
      </w:hyperlink>
    </w:p>
  </w:footnote>
  <w:footnote w:id="2">
    <w:p w14:paraId="21CE89AA" w14:textId="2A9F39AD" w:rsidR="006B62F4" w:rsidRPr="00F6063D" w:rsidRDefault="006B62F4" w:rsidP="00BC121A">
      <w:pPr>
        <w:pStyle w:val="Textonotapie"/>
        <w:jc w:val="both"/>
      </w:pPr>
      <w:r w:rsidRPr="00094F1F">
        <w:rPr>
          <w:rStyle w:val="Refdenotaalpie"/>
          <w:rFonts w:ascii="Century Gothic" w:hAnsi="Century Gothic"/>
          <w:sz w:val="14"/>
          <w:szCs w:val="14"/>
        </w:rPr>
        <w:footnoteRef/>
      </w:r>
      <w:hyperlink r:id="rId2" w:history="1">
        <w:r w:rsidRPr="00094F1F">
          <w:rPr>
            <w:rStyle w:val="Hipervnculo"/>
            <w:rFonts w:ascii="Century Gothic" w:hAnsi="Century Gothic"/>
            <w:sz w:val="14"/>
            <w:szCs w:val="14"/>
          </w:rPr>
          <w:t>http://www.medicinalegal.gov.co/documents/20143/386932/Forensis+2018.pdf/be4816a4-3da3-1ff0-2779-e7b5e3962d60?version=1.1</w:t>
        </w:r>
      </w:hyperlink>
    </w:p>
  </w:footnote>
  <w:footnote w:id="3">
    <w:p w14:paraId="0B84050B" w14:textId="724A5485" w:rsidR="006B62F4" w:rsidRPr="00900DCE" w:rsidRDefault="006B62F4" w:rsidP="00BC121A">
      <w:pPr>
        <w:pStyle w:val="NormalWeb"/>
        <w:jc w:val="both"/>
        <w:rPr>
          <w:rFonts w:ascii="Century Gothic" w:hAnsi="Century Gothic"/>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w:t>
      </w:r>
      <w:r w:rsidRPr="00900DCE">
        <w:rPr>
          <w:rFonts w:ascii="Century Gothic" w:hAnsi="Century Gothic"/>
          <w:bCs/>
          <w:sz w:val="14"/>
          <w:szCs w:val="14"/>
        </w:rPr>
        <w:t>PINHEIRO, Paulo Sergio.</w:t>
      </w:r>
      <w:r w:rsidRPr="00900DCE">
        <w:rPr>
          <w:rFonts w:ascii="Century Gothic" w:hAnsi="Century Gothic"/>
          <w:b/>
          <w:bCs/>
          <w:sz w:val="14"/>
          <w:szCs w:val="14"/>
        </w:rPr>
        <w:t xml:space="preserve"> </w:t>
      </w:r>
      <w:r w:rsidRPr="00900DCE">
        <w:rPr>
          <w:rFonts w:ascii="Century Gothic" w:hAnsi="Century Gothic"/>
          <w:sz w:val="14"/>
          <w:szCs w:val="14"/>
        </w:rPr>
        <w:t>Experto Independiente para el Estudio del Secretario General de las Naciones Unidas sobre la Violencia contra los Niños. Informe Mundial sobre la Violencia contra los Niños, Niñas y Adolescentes. UNICEF. En línea: https://www.unicef.org/mexico/spanish/Informe_Mundial_Sobre_Violencia.pdf.</w:t>
      </w:r>
    </w:p>
  </w:footnote>
  <w:footnote w:id="4">
    <w:p w14:paraId="62C23902" w14:textId="77777777" w:rsidR="006B62F4" w:rsidRPr="00A05413" w:rsidRDefault="006B62F4" w:rsidP="00BC121A">
      <w:pPr>
        <w:pStyle w:val="Textonotapie"/>
        <w:jc w:val="both"/>
        <w:rPr>
          <w:rFonts w:ascii="Century Gothic" w:hAnsi="Century Gothic"/>
          <w:sz w:val="14"/>
          <w:szCs w:val="14"/>
        </w:rPr>
      </w:pPr>
      <w:r w:rsidRPr="00A05413">
        <w:rPr>
          <w:rStyle w:val="Refdenotaalpie"/>
          <w:rFonts w:ascii="Century Gothic" w:hAnsi="Century Gothic"/>
          <w:sz w:val="14"/>
          <w:szCs w:val="14"/>
        </w:rPr>
        <w:footnoteRef/>
      </w:r>
      <w:r w:rsidRPr="00A05413">
        <w:rPr>
          <w:rFonts w:ascii="Century Gothic" w:hAnsi="Century Gothic"/>
          <w:sz w:val="14"/>
          <w:szCs w:val="14"/>
        </w:rPr>
        <w:t xml:space="preserve"> Corte Constitucional, Sala Plena, Sentencia C-080 de 15 de agosto 2018, magistrado sustanciador: Antonio José Lizarazo Ocampo, Asunto: Control automático de constitucionalidad del Proyecto de Ley Estatutaria número 08 de 2017 Senado, 016 de 2017 Cámara, “</w:t>
      </w:r>
      <w:r w:rsidRPr="00A05413">
        <w:rPr>
          <w:rFonts w:ascii="Century Gothic" w:hAnsi="Century Gothic"/>
          <w:i/>
          <w:iCs/>
          <w:sz w:val="14"/>
          <w:szCs w:val="14"/>
        </w:rPr>
        <w:t>Estatutaria de la Administración de Justicia en la Jurisdicción Especial para la Paz</w:t>
      </w:r>
      <w:r w:rsidRPr="00A05413">
        <w:rPr>
          <w:rFonts w:ascii="Century Gothic" w:hAnsi="Century Gothic"/>
          <w:sz w:val="14"/>
          <w:szCs w:val="14"/>
        </w:rPr>
        <w:t>”</w:t>
      </w:r>
      <w:r w:rsidRPr="00A05413">
        <w:rPr>
          <w:rFonts w:ascii="Century Gothic" w:hAnsi="Century Gothic"/>
          <w:i/>
          <w:iCs/>
          <w:sz w:val="14"/>
          <w:szCs w:val="14"/>
        </w:rPr>
        <w:t>.</w:t>
      </w:r>
    </w:p>
    <w:p w14:paraId="5011DC8A" w14:textId="77777777" w:rsidR="006B62F4" w:rsidRPr="00F6063D" w:rsidRDefault="006B62F4" w:rsidP="00BC121A">
      <w:pPr>
        <w:pStyle w:val="Textonotapie"/>
        <w:jc w:val="both"/>
      </w:pPr>
    </w:p>
  </w:footnote>
  <w:footnote w:id="5">
    <w:p w14:paraId="584679AA" w14:textId="7BE13361" w:rsidR="006B62F4" w:rsidRPr="00900DCE" w:rsidRDefault="006B62F4" w:rsidP="00BC121A">
      <w:pPr>
        <w:pStyle w:val="Textonotapie"/>
        <w:jc w:val="both"/>
        <w:rPr>
          <w:rFonts w:ascii="Century Gothic" w:hAnsi="Century Gothic"/>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Las cifras que se presentan a continuación corresponden a penas aproximadas al pasar las sanciones de meses a años.  </w:t>
      </w:r>
    </w:p>
  </w:footnote>
  <w:footnote w:id="6">
    <w:p w14:paraId="22B65F4D" w14:textId="77777777" w:rsidR="006B62F4" w:rsidRPr="00900DCE" w:rsidRDefault="006B62F4" w:rsidP="00BC121A">
      <w:pPr>
        <w:pStyle w:val="Textonotapie"/>
        <w:jc w:val="both"/>
        <w:rPr>
          <w:rFonts w:ascii="Century Gothic" w:hAnsi="Century Gothic"/>
          <w:b/>
          <w:bCs/>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GONZÁLEZ Amado, Iván. CITA Triana, Ricardo. </w:t>
      </w:r>
      <w:r w:rsidRPr="00900DCE">
        <w:rPr>
          <w:rFonts w:ascii="Century Gothic" w:hAnsi="Century Gothic"/>
          <w:bCs/>
          <w:sz w:val="14"/>
          <w:szCs w:val="14"/>
        </w:rPr>
        <w:t>LA PROPORCIONALIDAD DE LAS PENAS EN LA LEGISLACIÓN PENAL COLOMBIANA. Ministerio de Justicia y del Derecho. Bogotá: Grupo Editorial Ibáñez, 2017.</w:t>
      </w:r>
      <w:r w:rsidRPr="00900DCE">
        <w:rPr>
          <w:rFonts w:ascii="Century Gothic" w:hAnsi="Century Gothic"/>
          <w:b/>
          <w:bCs/>
          <w:sz w:val="14"/>
          <w:szCs w:val="14"/>
        </w:rPr>
        <w:t xml:space="preserve"> </w:t>
      </w:r>
      <w:r w:rsidRPr="00900DCE">
        <w:rPr>
          <w:rFonts w:ascii="Century Gothic" w:hAnsi="Century Gothic"/>
          <w:bCs/>
          <w:sz w:val="14"/>
          <w:szCs w:val="14"/>
        </w:rPr>
        <w:t>p. 284 y ss.</w:t>
      </w:r>
    </w:p>
  </w:footnote>
  <w:footnote w:id="7">
    <w:p w14:paraId="4972E011" w14:textId="77777777" w:rsidR="006B62F4" w:rsidRPr="00900DCE" w:rsidRDefault="006B62F4" w:rsidP="00BC121A">
      <w:pPr>
        <w:pStyle w:val="Textonotapie"/>
        <w:jc w:val="both"/>
        <w:rPr>
          <w:rFonts w:ascii="Century Gothic" w:hAnsi="Century Gothic"/>
          <w:sz w:val="14"/>
          <w:szCs w:val="14"/>
        </w:rPr>
      </w:pPr>
      <w:r w:rsidRPr="00900DCE">
        <w:rPr>
          <w:rStyle w:val="Refdenotaalpie"/>
          <w:rFonts w:ascii="Century Gothic" w:hAnsi="Century Gothic"/>
          <w:sz w:val="14"/>
          <w:szCs w:val="14"/>
        </w:rPr>
        <w:footnoteRef/>
      </w:r>
      <w:r w:rsidRPr="00900DCE">
        <w:rPr>
          <w:rFonts w:ascii="Century Gothic" w:hAnsi="Century Gothic"/>
          <w:sz w:val="14"/>
          <w:szCs w:val="14"/>
        </w:rPr>
        <w:t xml:space="preserve"> Ibídem.</w:t>
      </w:r>
    </w:p>
  </w:footnote>
  <w:footnote w:id="8">
    <w:p w14:paraId="570AD6DF" w14:textId="77777777" w:rsidR="006B62F4" w:rsidRDefault="006B62F4" w:rsidP="00BC121A">
      <w:pPr>
        <w:pStyle w:val="Textonotapie"/>
      </w:pPr>
      <w:r w:rsidRPr="00900DCE">
        <w:rPr>
          <w:rStyle w:val="Refdenotaalpie"/>
          <w:rFonts w:ascii="Century Gothic" w:hAnsi="Century Gothic"/>
          <w:sz w:val="14"/>
          <w:szCs w:val="14"/>
        </w:rPr>
        <w:footnoteRef/>
      </w:r>
      <w:r w:rsidRPr="00900DCE">
        <w:rPr>
          <w:rFonts w:ascii="Century Gothic" w:hAnsi="Century Gothic"/>
          <w:sz w:val="14"/>
          <w:szCs w:val="14"/>
        </w:rPr>
        <w:t xml:space="preserve"> Ibídem</w:t>
      </w:r>
      <w:r w:rsidRPr="005627A0">
        <w:rPr>
          <w:rFonts w:ascii="Century Gothic" w:hAnsi="Century Gothic"/>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E4DB" w14:textId="77777777" w:rsidR="006B62F4" w:rsidRPr="00CE0E97" w:rsidRDefault="006B62F4" w:rsidP="00CE0E97">
    <w:pPr>
      <w:pStyle w:val="Encabezado"/>
      <w:tabs>
        <w:tab w:val="left" w:pos="4252"/>
      </w:tabs>
      <w:rPr>
        <w:lang w:val="es-ES_tradnl"/>
      </w:rPr>
    </w:pPr>
  </w:p>
  <w:p w14:paraId="55B8E675" w14:textId="7EDB7619" w:rsidR="006B62F4" w:rsidRDefault="006B62F4" w:rsidP="00CE0E97">
    <w:pPr>
      <w:pStyle w:val="Encabezado"/>
      <w:tabs>
        <w:tab w:val="clear" w:pos="8504"/>
        <w:tab w:val="left" w:pos="4252"/>
      </w:tabs>
      <w:jc w:val="center"/>
    </w:pPr>
    <w:r>
      <w:rPr>
        <w:noProof/>
        <w:lang w:eastAsia="es-CO"/>
      </w:rPr>
      <w:drawing>
        <wp:inline distT="0" distB="0" distL="0" distR="0" wp14:anchorId="444EA933" wp14:editId="2D57CB46">
          <wp:extent cx="2372624" cy="715108"/>
          <wp:effectExtent l="0" t="0" r="2540" b="0"/>
          <wp:docPr id="3" name="Imagen 3" descr="http://2.bp.blogspot.com/--denv3eMKMA/Uhu2fGNIstI/AAAAAAAAAs8/FOqvEaiVOIw/s1600/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env3eMKMA/Uhu2fGNIstI/AAAAAAAAAs8/FOqvEaiVOIw/s1600/logo+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624" cy="715108"/>
                  </a:xfrm>
                  <a:prstGeom prst="rect">
                    <a:avLst/>
                  </a:prstGeom>
                  <a:noFill/>
                  <a:ln>
                    <a:noFill/>
                  </a:ln>
                </pic:spPr>
              </pic:pic>
            </a:graphicData>
          </a:graphic>
        </wp:inline>
      </w:drawing>
    </w:r>
  </w:p>
  <w:p w14:paraId="4E020129" w14:textId="77777777" w:rsidR="006B62F4" w:rsidRPr="008A5BEB" w:rsidRDefault="006B62F4" w:rsidP="00793F85">
    <w:pPr>
      <w:pStyle w:val="Encabezado"/>
      <w:tabs>
        <w:tab w:val="clear" w:pos="8504"/>
        <w:tab w:val="left" w:pos="425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A08AE02"/>
    <w:lvl w:ilvl="0">
      <w:start w:val="1"/>
      <w:numFmt w:val="decimal"/>
      <w:pStyle w:val="ImportWordListStyleDefinition416560225"/>
      <w:lvlText w:val="%1."/>
      <w:lvlJc w:val="left"/>
      <w:pPr>
        <w:tabs>
          <w:tab w:val="num" w:pos="0"/>
        </w:tabs>
        <w:ind w:left="0" w:firstLine="0"/>
      </w:pPr>
      <w:rPr>
        <w:position w:val="0"/>
      </w:rPr>
    </w:lvl>
    <w:lvl w:ilvl="1">
      <w:start w:val="1"/>
      <w:numFmt w:val="decimal"/>
      <w:lvlText w:val="%2."/>
      <w:lvlJc w:val="left"/>
      <w:pPr>
        <w:tabs>
          <w:tab w:val="num" w:pos="0"/>
        </w:tabs>
        <w:ind w:left="0" w:firstLine="0"/>
      </w:pPr>
      <w:rPr>
        <w:rFonts w:ascii="Arial" w:eastAsia="Arial Unicode MS" w:hAnsi="Arial" w:cs="Arial"/>
        <w:position w:val="0"/>
      </w:rPr>
    </w:lvl>
    <w:lvl w:ilvl="2">
      <w:start w:val="1"/>
      <w:numFmt w:val="decimal"/>
      <w:lvlText w:val="%3."/>
      <w:lvlJc w:val="left"/>
      <w:pPr>
        <w:tabs>
          <w:tab w:val="num" w:pos="360"/>
        </w:tabs>
        <w:ind w:left="360" w:firstLine="0"/>
      </w:pPr>
      <w:rPr>
        <w:position w:val="0"/>
      </w:rPr>
    </w:lvl>
    <w:lvl w:ilvl="3">
      <w:start w:val="1"/>
      <w:numFmt w:val="decimal"/>
      <w:lvlText w:val="%4."/>
      <w:lvlJc w:val="left"/>
      <w:pPr>
        <w:tabs>
          <w:tab w:val="num" w:pos="720"/>
        </w:tabs>
        <w:ind w:left="720" w:firstLine="0"/>
      </w:pPr>
      <w:rPr>
        <w:position w:val="0"/>
      </w:rPr>
    </w:lvl>
    <w:lvl w:ilvl="4">
      <w:start w:val="1"/>
      <w:numFmt w:val="decimal"/>
      <w:lvlText w:val="%5."/>
      <w:lvlJc w:val="left"/>
      <w:pPr>
        <w:tabs>
          <w:tab w:val="num" w:pos="720"/>
        </w:tabs>
        <w:ind w:left="720" w:firstLine="0"/>
      </w:pPr>
      <w:rPr>
        <w:position w:val="0"/>
      </w:rPr>
    </w:lvl>
    <w:lvl w:ilvl="5">
      <w:start w:val="1"/>
      <w:numFmt w:val="decimal"/>
      <w:lvlText w:val="%6."/>
      <w:lvlJc w:val="left"/>
      <w:pPr>
        <w:tabs>
          <w:tab w:val="num" w:pos="1080"/>
        </w:tabs>
        <w:ind w:left="1080" w:firstLine="0"/>
      </w:pPr>
      <w:rPr>
        <w:position w:val="0"/>
      </w:rPr>
    </w:lvl>
    <w:lvl w:ilvl="6">
      <w:start w:val="1"/>
      <w:numFmt w:val="decimal"/>
      <w:lvlText w:val="%7."/>
      <w:lvlJc w:val="left"/>
      <w:pPr>
        <w:tabs>
          <w:tab w:val="num" w:pos="1080"/>
        </w:tabs>
        <w:ind w:left="1080" w:firstLine="0"/>
      </w:pPr>
      <w:rPr>
        <w:position w:val="0"/>
      </w:rPr>
    </w:lvl>
    <w:lvl w:ilvl="7">
      <w:start w:val="1"/>
      <w:numFmt w:val="decimal"/>
      <w:lvlText w:val="%8."/>
      <w:lvlJc w:val="left"/>
      <w:pPr>
        <w:tabs>
          <w:tab w:val="num" w:pos="1440"/>
        </w:tabs>
        <w:ind w:left="1440" w:firstLine="0"/>
      </w:pPr>
      <w:rPr>
        <w:position w:val="0"/>
      </w:rPr>
    </w:lvl>
    <w:lvl w:ilvl="8">
      <w:start w:val="1"/>
      <w:numFmt w:val="decimal"/>
      <w:lvlText w:val="%9."/>
      <w:lvlJc w:val="left"/>
      <w:pPr>
        <w:tabs>
          <w:tab w:val="num" w:pos="1440"/>
        </w:tabs>
        <w:ind w:left="1440" w:firstLine="0"/>
      </w:pPr>
      <w:rPr>
        <w:position w:val="0"/>
      </w:rPr>
    </w:lvl>
  </w:abstractNum>
  <w:abstractNum w:abstractNumId="1" w15:restartNumberingAfterBreak="0">
    <w:nsid w:val="042D5FB3"/>
    <w:multiLevelType w:val="hybridMultilevel"/>
    <w:tmpl w:val="4922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C52416"/>
    <w:multiLevelType w:val="hybridMultilevel"/>
    <w:tmpl w:val="353CB814"/>
    <w:lvl w:ilvl="0" w:tplc="A6C2FBCE">
      <w:start w:val="1"/>
      <w:numFmt w:val="bullet"/>
      <w:lvlText w:val=""/>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4F56A84"/>
    <w:multiLevelType w:val="hybridMultilevel"/>
    <w:tmpl w:val="B16C09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67614CF"/>
    <w:multiLevelType w:val="hybridMultilevel"/>
    <w:tmpl w:val="06F8B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BD7684"/>
    <w:multiLevelType w:val="hybridMultilevel"/>
    <w:tmpl w:val="4922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F32794"/>
    <w:multiLevelType w:val="hybridMultilevel"/>
    <w:tmpl w:val="CE484E5A"/>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14D60FC"/>
    <w:multiLevelType w:val="hybridMultilevel"/>
    <w:tmpl w:val="56DE0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E94880"/>
    <w:multiLevelType w:val="hybridMultilevel"/>
    <w:tmpl w:val="AB7C3A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2E76628"/>
    <w:multiLevelType w:val="hybridMultilevel"/>
    <w:tmpl w:val="135ACB6E"/>
    <w:lvl w:ilvl="0" w:tplc="FF0CFB6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C7570A"/>
    <w:multiLevelType w:val="hybridMultilevel"/>
    <w:tmpl w:val="EFC6142A"/>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18482ADB"/>
    <w:multiLevelType w:val="hybridMultilevel"/>
    <w:tmpl w:val="4922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B373743"/>
    <w:multiLevelType w:val="hybridMultilevel"/>
    <w:tmpl w:val="4A283CBE"/>
    <w:lvl w:ilvl="0" w:tplc="597A3532">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FE0DD5"/>
    <w:multiLevelType w:val="hybridMultilevel"/>
    <w:tmpl w:val="6B6A4D7A"/>
    <w:lvl w:ilvl="0" w:tplc="CFCAEE92">
      <w:numFmt w:val="bullet"/>
      <w:lvlText w:val="-"/>
      <w:lvlJc w:val="left"/>
      <w:pPr>
        <w:ind w:left="360" w:hanging="360"/>
      </w:pPr>
      <w:rPr>
        <w:rFonts w:ascii="Century Gothic" w:eastAsiaTheme="minorEastAsia" w:hAnsi="Century Gothic" w:cs="Times New Roman" w:hint="default"/>
        <w:b/>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EBD72AF"/>
    <w:multiLevelType w:val="hybridMultilevel"/>
    <w:tmpl w:val="09463F30"/>
    <w:lvl w:ilvl="0" w:tplc="A6C2FBCE">
      <w:start w:val="1"/>
      <w:numFmt w:val="bullet"/>
      <w:lvlText w:val=""/>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1EE74994"/>
    <w:multiLevelType w:val="hybridMultilevel"/>
    <w:tmpl w:val="CD5845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0244DD6"/>
    <w:multiLevelType w:val="hybridMultilevel"/>
    <w:tmpl w:val="A45E3AC4"/>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2340080F"/>
    <w:multiLevelType w:val="hybridMultilevel"/>
    <w:tmpl w:val="53EC0F6A"/>
    <w:lvl w:ilvl="0" w:tplc="3DC8985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8" w15:restartNumberingAfterBreak="0">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25CF3184"/>
    <w:multiLevelType w:val="hybridMultilevel"/>
    <w:tmpl w:val="69CAE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D937C4"/>
    <w:multiLevelType w:val="hybridMultilevel"/>
    <w:tmpl w:val="77B84B5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DC179DC"/>
    <w:multiLevelType w:val="hybridMultilevel"/>
    <w:tmpl w:val="5EE4AC7E"/>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2F797121"/>
    <w:multiLevelType w:val="hybridMultilevel"/>
    <w:tmpl w:val="A258735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3" w15:restartNumberingAfterBreak="0">
    <w:nsid w:val="31FB2A49"/>
    <w:multiLevelType w:val="hybridMultilevel"/>
    <w:tmpl w:val="70784A90"/>
    <w:lvl w:ilvl="0" w:tplc="A5A07A7C">
      <w:start w:val="2"/>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4CF1951"/>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37155F7C"/>
    <w:multiLevelType w:val="hybridMultilevel"/>
    <w:tmpl w:val="998E631E"/>
    <w:lvl w:ilvl="0" w:tplc="09D8137E">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A3B1EEA"/>
    <w:multiLevelType w:val="hybridMultilevel"/>
    <w:tmpl w:val="20EC7416"/>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D467149"/>
    <w:multiLevelType w:val="multilevel"/>
    <w:tmpl w:val="8744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BC71F7"/>
    <w:multiLevelType w:val="hybridMultilevel"/>
    <w:tmpl w:val="2FE49B5E"/>
    <w:lvl w:ilvl="0" w:tplc="7B26C20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376C3E"/>
    <w:multiLevelType w:val="hybridMultilevel"/>
    <w:tmpl w:val="150EFDD4"/>
    <w:lvl w:ilvl="0" w:tplc="4C083026">
      <w:numFmt w:val="bullet"/>
      <w:lvlText w:val="-"/>
      <w:lvlJc w:val="left"/>
      <w:pPr>
        <w:ind w:left="360" w:hanging="360"/>
      </w:pPr>
      <w:rPr>
        <w:rFonts w:ascii="Century Gothic" w:eastAsiaTheme="minorHAnsi" w:hAnsi="Century Gothic" w:cs="Arial" w:hint="default"/>
        <w:b/>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01515BF"/>
    <w:multiLevelType w:val="hybridMultilevel"/>
    <w:tmpl w:val="04FA4288"/>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42A87876"/>
    <w:multiLevelType w:val="hybridMultilevel"/>
    <w:tmpl w:val="B56A1F52"/>
    <w:lvl w:ilvl="0" w:tplc="F39C277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439277E0"/>
    <w:multiLevelType w:val="hybridMultilevel"/>
    <w:tmpl w:val="46D02362"/>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4A6B2504"/>
    <w:multiLevelType w:val="multilevel"/>
    <w:tmpl w:val="67743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7A5BFF"/>
    <w:multiLevelType w:val="hybridMultilevel"/>
    <w:tmpl w:val="0AAA9C50"/>
    <w:lvl w:ilvl="0" w:tplc="3E06E4E8">
      <w:numFmt w:val="bullet"/>
      <w:lvlText w:val="-"/>
      <w:lvlJc w:val="left"/>
      <w:pPr>
        <w:ind w:left="360" w:hanging="360"/>
      </w:pPr>
      <w:rPr>
        <w:rFonts w:ascii="Century Gothic" w:eastAsiaTheme="minorHAnsi" w:hAnsi="Century Gothic" w:cs="Arial" w:hint="default"/>
        <w:b/>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4D730538"/>
    <w:multiLevelType w:val="hybridMultilevel"/>
    <w:tmpl w:val="D7C8C1DC"/>
    <w:lvl w:ilvl="0" w:tplc="95ECFDE2">
      <w:start w:val="1"/>
      <w:numFmt w:val="lowerRoman"/>
      <w:lvlText w:val="(%1)"/>
      <w:lvlJc w:val="left"/>
      <w:pPr>
        <w:ind w:left="1080" w:hanging="72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526E1483"/>
    <w:multiLevelType w:val="hybridMultilevel"/>
    <w:tmpl w:val="03C03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9EE5965"/>
    <w:multiLevelType w:val="hybridMultilevel"/>
    <w:tmpl w:val="94483AF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15:restartNumberingAfterBreak="0">
    <w:nsid w:val="5AFF31D2"/>
    <w:multiLevelType w:val="hybridMultilevel"/>
    <w:tmpl w:val="AC6E72F4"/>
    <w:lvl w:ilvl="0" w:tplc="8E76F216">
      <w:start w:val="1"/>
      <w:numFmt w:val="decimal"/>
      <w:lvlText w:val="%1."/>
      <w:lvlJc w:val="left"/>
      <w:pPr>
        <w:ind w:left="1440" w:hanging="720"/>
      </w:pPr>
      <w:rPr>
        <w:rFonts w:ascii="Georgia" w:eastAsiaTheme="minorHAnsi" w:hAnsi="Georgia" w:cs="Times New Roman"/>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0" w15:restartNumberingAfterBreak="0">
    <w:nsid w:val="5CB00DCC"/>
    <w:multiLevelType w:val="hybridMultilevel"/>
    <w:tmpl w:val="06F8B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25946E7"/>
    <w:multiLevelType w:val="hybridMultilevel"/>
    <w:tmpl w:val="06F8B1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3F16EDE"/>
    <w:multiLevelType w:val="hybridMultilevel"/>
    <w:tmpl w:val="F23EE516"/>
    <w:lvl w:ilvl="0" w:tplc="E3E0C8E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9233410"/>
    <w:multiLevelType w:val="hybridMultilevel"/>
    <w:tmpl w:val="F7CAC3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9F368FC"/>
    <w:multiLevelType w:val="hybridMultilevel"/>
    <w:tmpl w:val="DF986D0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6BC66AA3"/>
    <w:multiLevelType w:val="hybridMultilevel"/>
    <w:tmpl w:val="5C2A16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BE205D3"/>
    <w:multiLevelType w:val="hybridMultilevel"/>
    <w:tmpl w:val="DAD47BB4"/>
    <w:lvl w:ilvl="0" w:tplc="581C90B4">
      <w:numFmt w:val="bullet"/>
      <w:lvlText w:val="-"/>
      <w:lvlJc w:val="left"/>
      <w:pPr>
        <w:ind w:left="360" w:hanging="360"/>
      </w:pPr>
      <w:rPr>
        <w:rFonts w:ascii="Century Gothic" w:eastAsiaTheme="minorHAnsi" w:hAnsi="Century Gothic" w:cs="Arial"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6A439D2"/>
    <w:multiLevelType w:val="hybridMultilevel"/>
    <w:tmpl w:val="CBF63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A085F66"/>
    <w:multiLevelType w:val="hybridMultilevel"/>
    <w:tmpl w:val="281653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D045466"/>
    <w:multiLevelType w:val="hybridMultilevel"/>
    <w:tmpl w:val="9864DA34"/>
    <w:lvl w:ilvl="0" w:tplc="E9609AC2">
      <w:start w:val="1"/>
      <w:numFmt w:val="decimal"/>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2"/>
  </w:num>
  <w:num w:numId="3">
    <w:abstractNumId w:val="41"/>
  </w:num>
  <w:num w:numId="4">
    <w:abstractNumId w:val="5"/>
  </w:num>
  <w:num w:numId="5">
    <w:abstractNumId w:val="4"/>
  </w:num>
  <w:num w:numId="6">
    <w:abstractNumId w:val="11"/>
  </w:num>
  <w:num w:numId="7">
    <w:abstractNumId w:val="40"/>
  </w:num>
  <w:num w:numId="8">
    <w:abstractNumId w:val="1"/>
  </w:num>
  <w:num w:numId="9">
    <w:abstractNumId w:val="42"/>
  </w:num>
  <w:num w:numId="10">
    <w:abstractNumId w:val="4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3"/>
  </w:num>
  <w:num w:numId="14">
    <w:abstractNumId w:val="19"/>
  </w:num>
  <w:num w:numId="15">
    <w:abstractNumId w:val="30"/>
  </w:num>
  <w:num w:numId="16">
    <w:abstractNumId w:val="46"/>
  </w:num>
  <w:num w:numId="17">
    <w:abstractNumId w:val="48"/>
  </w:num>
  <w:num w:numId="18">
    <w:abstractNumId w:val="6"/>
  </w:num>
  <w:num w:numId="19">
    <w:abstractNumId w:val="36"/>
  </w:num>
  <w:num w:numId="20">
    <w:abstractNumId w:val="31"/>
  </w:num>
  <w:num w:numId="21">
    <w:abstractNumId w:val="38"/>
  </w:num>
  <w:num w:numId="22">
    <w:abstractNumId w:val="3"/>
  </w:num>
  <w:num w:numId="23">
    <w:abstractNumId w:val="16"/>
  </w:num>
  <w:num w:numId="24">
    <w:abstractNumId w:val="10"/>
  </w:num>
  <w:num w:numId="25">
    <w:abstractNumId w:val="18"/>
  </w:num>
  <w:num w:numId="26">
    <w:abstractNumId w:val="33"/>
  </w:num>
  <w:num w:numId="27">
    <w:abstractNumId w:val="7"/>
  </w:num>
  <w:num w:numId="28">
    <w:abstractNumId w:val="29"/>
  </w:num>
  <w:num w:numId="29">
    <w:abstractNumId w:val="35"/>
  </w:num>
  <w:num w:numId="30">
    <w:abstractNumId w:val="32"/>
  </w:num>
  <w:num w:numId="31">
    <w:abstractNumId w:val="23"/>
  </w:num>
  <w:num w:numId="32">
    <w:abstractNumId w:val="21"/>
  </w:num>
  <w:num w:numId="33">
    <w:abstractNumId w:val="34"/>
  </w:num>
  <w:num w:numId="34">
    <w:abstractNumId w:val="27"/>
  </w:num>
  <w:num w:numId="35">
    <w:abstractNumId w:val="44"/>
  </w:num>
  <w:num w:numId="36">
    <w:abstractNumId w:val="15"/>
  </w:num>
  <w:num w:numId="37">
    <w:abstractNumId w:val="9"/>
  </w:num>
  <w:num w:numId="38">
    <w:abstractNumId w:val="37"/>
  </w:num>
  <w:num w:numId="39">
    <w:abstractNumId w:val="26"/>
  </w:num>
  <w:num w:numId="40">
    <w:abstractNumId w:val="47"/>
  </w:num>
  <w:num w:numId="41">
    <w:abstractNumId w:val="49"/>
  </w:num>
  <w:num w:numId="42">
    <w:abstractNumId w:val="17"/>
  </w:num>
  <w:num w:numId="43">
    <w:abstractNumId w:val="43"/>
  </w:num>
  <w:num w:numId="44">
    <w:abstractNumId w:val="22"/>
  </w:num>
  <w:num w:numId="45">
    <w:abstractNumId w:val="39"/>
  </w:num>
  <w:num w:numId="46">
    <w:abstractNumId w:val="8"/>
  </w:num>
  <w:num w:numId="47">
    <w:abstractNumId w:val="24"/>
  </w:num>
  <w:num w:numId="48">
    <w:abstractNumId w:val="20"/>
  </w:num>
  <w:num w:numId="49">
    <w:abstractNumId w:val="2"/>
  </w:num>
  <w:num w:numId="5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activeWritingStyle w:appName="MSWord" w:lang="pt-BR"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533"/>
    <w:rsid w:val="000031BA"/>
    <w:rsid w:val="0000360B"/>
    <w:rsid w:val="000037E3"/>
    <w:rsid w:val="000041C8"/>
    <w:rsid w:val="000052A5"/>
    <w:rsid w:val="00005F61"/>
    <w:rsid w:val="00010000"/>
    <w:rsid w:val="00010C7B"/>
    <w:rsid w:val="00011B05"/>
    <w:rsid w:val="000130E0"/>
    <w:rsid w:val="00014050"/>
    <w:rsid w:val="000155FB"/>
    <w:rsid w:val="00020226"/>
    <w:rsid w:val="000230F9"/>
    <w:rsid w:val="00024C68"/>
    <w:rsid w:val="00024E8F"/>
    <w:rsid w:val="000257BF"/>
    <w:rsid w:val="0002724D"/>
    <w:rsid w:val="00033012"/>
    <w:rsid w:val="00033A99"/>
    <w:rsid w:val="00035623"/>
    <w:rsid w:val="000360FD"/>
    <w:rsid w:val="00036B40"/>
    <w:rsid w:val="00043520"/>
    <w:rsid w:val="00044089"/>
    <w:rsid w:val="00044460"/>
    <w:rsid w:val="00044B13"/>
    <w:rsid w:val="00044E51"/>
    <w:rsid w:val="00047CBA"/>
    <w:rsid w:val="00047EDA"/>
    <w:rsid w:val="00050094"/>
    <w:rsid w:val="00050B53"/>
    <w:rsid w:val="00051A49"/>
    <w:rsid w:val="00051AB7"/>
    <w:rsid w:val="0005390F"/>
    <w:rsid w:val="00054153"/>
    <w:rsid w:val="000544DA"/>
    <w:rsid w:val="00054D68"/>
    <w:rsid w:val="00056D86"/>
    <w:rsid w:val="00061BCB"/>
    <w:rsid w:val="000641A9"/>
    <w:rsid w:val="00067D87"/>
    <w:rsid w:val="00071A9E"/>
    <w:rsid w:val="000726AD"/>
    <w:rsid w:val="000746C7"/>
    <w:rsid w:val="000748B6"/>
    <w:rsid w:val="0007596A"/>
    <w:rsid w:val="00075ACE"/>
    <w:rsid w:val="00075B48"/>
    <w:rsid w:val="00075C6B"/>
    <w:rsid w:val="000819DE"/>
    <w:rsid w:val="00085241"/>
    <w:rsid w:val="00086E98"/>
    <w:rsid w:val="0009249B"/>
    <w:rsid w:val="00093ED5"/>
    <w:rsid w:val="00094285"/>
    <w:rsid w:val="00094F1F"/>
    <w:rsid w:val="00096B2D"/>
    <w:rsid w:val="00096DC4"/>
    <w:rsid w:val="000A0530"/>
    <w:rsid w:val="000A279D"/>
    <w:rsid w:val="000A52D4"/>
    <w:rsid w:val="000A770B"/>
    <w:rsid w:val="000B13FB"/>
    <w:rsid w:val="000B174F"/>
    <w:rsid w:val="000B312C"/>
    <w:rsid w:val="000B32DF"/>
    <w:rsid w:val="000B3592"/>
    <w:rsid w:val="000B3D08"/>
    <w:rsid w:val="000B4980"/>
    <w:rsid w:val="000B6617"/>
    <w:rsid w:val="000B67DD"/>
    <w:rsid w:val="000B6A49"/>
    <w:rsid w:val="000C2514"/>
    <w:rsid w:val="000C37FD"/>
    <w:rsid w:val="000C5D74"/>
    <w:rsid w:val="000D0394"/>
    <w:rsid w:val="000D240D"/>
    <w:rsid w:val="000D560D"/>
    <w:rsid w:val="000D5D00"/>
    <w:rsid w:val="000D6CFE"/>
    <w:rsid w:val="000D79C3"/>
    <w:rsid w:val="000E0BFF"/>
    <w:rsid w:val="000E3473"/>
    <w:rsid w:val="000E3F8E"/>
    <w:rsid w:val="000E46DB"/>
    <w:rsid w:val="000E5D59"/>
    <w:rsid w:val="000F0113"/>
    <w:rsid w:val="000F2F95"/>
    <w:rsid w:val="000F4816"/>
    <w:rsid w:val="000F493F"/>
    <w:rsid w:val="00101271"/>
    <w:rsid w:val="00101518"/>
    <w:rsid w:val="00101B48"/>
    <w:rsid w:val="00102503"/>
    <w:rsid w:val="00102760"/>
    <w:rsid w:val="00110045"/>
    <w:rsid w:val="00110464"/>
    <w:rsid w:val="00111255"/>
    <w:rsid w:val="00112628"/>
    <w:rsid w:val="0011346D"/>
    <w:rsid w:val="001162A0"/>
    <w:rsid w:val="00116F6E"/>
    <w:rsid w:val="001219FB"/>
    <w:rsid w:val="001234B9"/>
    <w:rsid w:val="00124187"/>
    <w:rsid w:val="001251E0"/>
    <w:rsid w:val="0012718C"/>
    <w:rsid w:val="00130489"/>
    <w:rsid w:val="001305EC"/>
    <w:rsid w:val="0013094E"/>
    <w:rsid w:val="00131AB7"/>
    <w:rsid w:val="001325CC"/>
    <w:rsid w:val="00132B08"/>
    <w:rsid w:val="001341EC"/>
    <w:rsid w:val="001358F5"/>
    <w:rsid w:val="00137757"/>
    <w:rsid w:val="00141E7A"/>
    <w:rsid w:val="00144872"/>
    <w:rsid w:val="00147515"/>
    <w:rsid w:val="001518B2"/>
    <w:rsid w:val="00152761"/>
    <w:rsid w:val="00153942"/>
    <w:rsid w:val="00154027"/>
    <w:rsid w:val="0015503A"/>
    <w:rsid w:val="00155E02"/>
    <w:rsid w:val="00156276"/>
    <w:rsid w:val="001566F9"/>
    <w:rsid w:val="00160C7E"/>
    <w:rsid w:val="00160FB0"/>
    <w:rsid w:val="001613A5"/>
    <w:rsid w:val="001621AD"/>
    <w:rsid w:val="001626B2"/>
    <w:rsid w:val="00162764"/>
    <w:rsid w:val="00162F07"/>
    <w:rsid w:val="0016379C"/>
    <w:rsid w:val="001643D6"/>
    <w:rsid w:val="001648FA"/>
    <w:rsid w:val="001652DE"/>
    <w:rsid w:val="001658E1"/>
    <w:rsid w:val="0016733D"/>
    <w:rsid w:val="0017109E"/>
    <w:rsid w:val="00171430"/>
    <w:rsid w:val="00172AA3"/>
    <w:rsid w:val="00174C24"/>
    <w:rsid w:val="00174E8C"/>
    <w:rsid w:val="0017525D"/>
    <w:rsid w:val="001755EB"/>
    <w:rsid w:val="00180694"/>
    <w:rsid w:val="00180C86"/>
    <w:rsid w:val="00180D81"/>
    <w:rsid w:val="00180D9D"/>
    <w:rsid w:val="001817CF"/>
    <w:rsid w:val="00181B97"/>
    <w:rsid w:val="00181F10"/>
    <w:rsid w:val="00182CAC"/>
    <w:rsid w:val="00182EEA"/>
    <w:rsid w:val="001836ED"/>
    <w:rsid w:val="00186D03"/>
    <w:rsid w:val="001873B4"/>
    <w:rsid w:val="0018758B"/>
    <w:rsid w:val="0018770F"/>
    <w:rsid w:val="00187CA3"/>
    <w:rsid w:val="00190185"/>
    <w:rsid w:val="00193832"/>
    <w:rsid w:val="001938FA"/>
    <w:rsid w:val="001950D0"/>
    <w:rsid w:val="0019695C"/>
    <w:rsid w:val="00197D80"/>
    <w:rsid w:val="001A0FF3"/>
    <w:rsid w:val="001A14B7"/>
    <w:rsid w:val="001A2414"/>
    <w:rsid w:val="001A2F69"/>
    <w:rsid w:val="001A59E9"/>
    <w:rsid w:val="001A67B7"/>
    <w:rsid w:val="001B0EEE"/>
    <w:rsid w:val="001B2698"/>
    <w:rsid w:val="001B285C"/>
    <w:rsid w:val="001B40CC"/>
    <w:rsid w:val="001B5E6B"/>
    <w:rsid w:val="001B70BC"/>
    <w:rsid w:val="001B71DF"/>
    <w:rsid w:val="001B7423"/>
    <w:rsid w:val="001C031A"/>
    <w:rsid w:val="001C128A"/>
    <w:rsid w:val="001C1C76"/>
    <w:rsid w:val="001C3C15"/>
    <w:rsid w:val="001C418B"/>
    <w:rsid w:val="001C4DA5"/>
    <w:rsid w:val="001C5B30"/>
    <w:rsid w:val="001D1CAB"/>
    <w:rsid w:val="001D3A79"/>
    <w:rsid w:val="001D3A85"/>
    <w:rsid w:val="001D3F3E"/>
    <w:rsid w:val="001E257C"/>
    <w:rsid w:val="001E3463"/>
    <w:rsid w:val="001E4F6C"/>
    <w:rsid w:val="001E57EB"/>
    <w:rsid w:val="001E6081"/>
    <w:rsid w:val="001E6E1A"/>
    <w:rsid w:val="001F067C"/>
    <w:rsid w:val="001F0CFC"/>
    <w:rsid w:val="001F214F"/>
    <w:rsid w:val="001F2C27"/>
    <w:rsid w:val="001F2FA1"/>
    <w:rsid w:val="001F3214"/>
    <w:rsid w:val="001F5BEB"/>
    <w:rsid w:val="001F6E48"/>
    <w:rsid w:val="001F7074"/>
    <w:rsid w:val="001F7524"/>
    <w:rsid w:val="00200D54"/>
    <w:rsid w:val="00202313"/>
    <w:rsid w:val="00204FEF"/>
    <w:rsid w:val="00207C55"/>
    <w:rsid w:val="00210552"/>
    <w:rsid w:val="002128BA"/>
    <w:rsid w:val="00213910"/>
    <w:rsid w:val="00214A3D"/>
    <w:rsid w:val="00214CCB"/>
    <w:rsid w:val="00214DE2"/>
    <w:rsid w:val="00215535"/>
    <w:rsid w:val="0021582F"/>
    <w:rsid w:val="00217E0C"/>
    <w:rsid w:val="002218AB"/>
    <w:rsid w:val="00221AC8"/>
    <w:rsid w:val="00221D45"/>
    <w:rsid w:val="00221F78"/>
    <w:rsid w:val="00221FEB"/>
    <w:rsid w:val="0022347F"/>
    <w:rsid w:val="0022424F"/>
    <w:rsid w:val="002244E6"/>
    <w:rsid w:val="00225386"/>
    <w:rsid w:val="002253B0"/>
    <w:rsid w:val="00227B61"/>
    <w:rsid w:val="00230916"/>
    <w:rsid w:val="00233C0B"/>
    <w:rsid w:val="00237BC6"/>
    <w:rsid w:val="00240337"/>
    <w:rsid w:val="0024047C"/>
    <w:rsid w:val="00240BF4"/>
    <w:rsid w:val="00242409"/>
    <w:rsid w:val="0024242C"/>
    <w:rsid w:val="002429FE"/>
    <w:rsid w:val="00242D8C"/>
    <w:rsid w:val="002432D6"/>
    <w:rsid w:val="002442EA"/>
    <w:rsid w:val="00244393"/>
    <w:rsid w:val="002443EA"/>
    <w:rsid w:val="002464E2"/>
    <w:rsid w:val="00250BAC"/>
    <w:rsid w:val="00251E2E"/>
    <w:rsid w:val="00252C27"/>
    <w:rsid w:val="00256D0C"/>
    <w:rsid w:val="00262D68"/>
    <w:rsid w:val="00263876"/>
    <w:rsid w:val="00266486"/>
    <w:rsid w:val="00266BEA"/>
    <w:rsid w:val="00271750"/>
    <w:rsid w:val="00272FCD"/>
    <w:rsid w:val="00273378"/>
    <w:rsid w:val="00274E5E"/>
    <w:rsid w:val="002752F7"/>
    <w:rsid w:val="00280CF2"/>
    <w:rsid w:val="00282E86"/>
    <w:rsid w:val="0028686C"/>
    <w:rsid w:val="0028721D"/>
    <w:rsid w:val="00292A9F"/>
    <w:rsid w:val="002954A8"/>
    <w:rsid w:val="0029603E"/>
    <w:rsid w:val="002968BD"/>
    <w:rsid w:val="002A000A"/>
    <w:rsid w:val="002A0082"/>
    <w:rsid w:val="002A02D6"/>
    <w:rsid w:val="002A081B"/>
    <w:rsid w:val="002A45C4"/>
    <w:rsid w:val="002A5043"/>
    <w:rsid w:val="002A556B"/>
    <w:rsid w:val="002A5EED"/>
    <w:rsid w:val="002A663E"/>
    <w:rsid w:val="002B18BE"/>
    <w:rsid w:val="002B1A24"/>
    <w:rsid w:val="002B24B9"/>
    <w:rsid w:val="002B2C47"/>
    <w:rsid w:val="002B3601"/>
    <w:rsid w:val="002B3A5C"/>
    <w:rsid w:val="002B3DDE"/>
    <w:rsid w:val="002B3E10"/>
    <w:rsid w:val="002B4A10"/>
    <w:rsid w:val="002B6352"/>
    <w:rsid w:val="002B6872"/>
    <w:rsid w:val="002B6D20"/>
    <w:rsid w:val="002B71CF"/>
    <w:rsid w:val="002B741A"/>
    <w:rsid w:val="002B774D"/>
    <w:rsid w:val="002C26E9"/>
    <w:rsid w:val="002C328F"/>
    <w:rsid w:val="002D468A"/>
    <w:rsid w:val="002D5396"/>
    <w:rsid w:val="002D54DA"/>
    <w:rsid w:val="002D68BE"/>
    <w:rsid w:val="002D6A1E"/>
    <w:rsid w:val="002D6F59"/>
    <w:rsid w:val="002D7D12"/>
    <w:rsid w:val="002E0AF0"/>
    <w:rsid w:val="002E115C"/>
    <w:rsid w:val="002E11B9"/>
    <w:rsid w:val="002E1EF7"/>
    <w:rsid w:val="002E3912"/>
    <w:rsid w:val="002E3DD3"/>
    <w:rsid w:val="002E4C81"/>
    <w:rsid w:val="002E6420"/>
    <w:rsid w:val="002E6477"/>
    <w:rsid w:val="002F314E"/>
    <w:rsid w:val="002F3A9B"/>
    <w:rsid w:val="002F55DC"/>
    <w:rsid w:val="002F5C06"/>
    <w:rsid w:val="002F6042"/>
    <w:rsid w:val="002F68B2"/>
    <w:rsid w:val="002F6DB6"/>
    <w:rsid w:val="002F7CDB"/>
    <w:rsid w:val="002F7CEA"/>
    <w:rsid w:val="00300A0C"/>
    <w:rsid w:val="00304742"/>
    <w:rsid w:val="00305CF0"/>
    <w:rsid w:val="003061B4"/>
    <w:rsid w:val="00306CE2"/>
    <w:rsid w:val="0031345C"/>
    <w:rsid w:val="00313A99"/>
    <w:rsid w:val="00313D9B"/>
    <w:rsid w:val="00316F75"/>
    <w:rsid w:val="00320CE6"/>
    <w:rsid w:val="00322EAA"/>
    <w:rsid w:val="00322F27"/>
    <w:rsid w:val="00323757"/>
    <w:rsid w:val="003237A4"/>
    <w:rsid w:val="00325533"/>
    <w:rsid w:val="00326AC9"/>
    <w:rsid w:val="00327D74"/>
    <w:rsid w:val="00331190"/>
    <w:rsid w:val="00332A5D"/>
    <w:rsid w:val="00333CEE"/>
    <w:rsid w:val="00333D3F"/>
    <w:rsid w:val="00335088"/>
    <w:rsid w:val="003363D7"/>
    <w:rsid w:val="003367EA"/>
    <w:rsid w:val="00350CFF"/>
    <w:rsid w:val="00350E7B"/>
    <w:rsid w:val="0035234A"/>
    <w:rsid w:val="00352885"/>
    <w:rsid w:val="00352A5A"/>
    <w:rsid w:val="00352ABE"/>
    <w:rsid w:val="0035348F"/>
    <w:rsid w:val="0035457B"/>
    <w:rsid w:val="003572D7"/>
    <w:rsid w:val="00357F8A"/>
    <w:rsid w:val="003600FA"/>
    <w:rsid w:val="00361507"/>
    <w:rsid w:val="0036318A"/>
    <w:rsid w:val="003641BA"/>
    <w:rsid w:val="00364E59"/>
    <w:rsid w:val="0036575F"/>
    <w:rsid w:val="00366180"/>
    <w:rsid w:val="00366D8E"/>
    <w:rsid w:val="003673F8"/>
    <w:rsid w:val="003737EB"/>
    <w:rsid w:val="00373DB3"/>
    <w:rsid w:val="00374B0D"/>
    <w:rsid w:val="00375D8E"/>
    <w:rsid w:val="0037647C"/>
    <w:rsid w:val="003842F4"/>
    <w:rsid w:val="00385B23"/>
    <w:rsid w:val="00385F5A"/>
    <w:rsid w:val="003878D4"/>
    <w:rsid w:val="003900FD"/>
    <w:rsid w:val="00390401"/>
    <w:rsid w:val="00391A17"/>
    <w:rsid w:val="00391ED0"/>
    <w:rsid w:val="00393390"/>
    <w:rsid w:val="003938BC"/>
    <w:rsid w:val="00394E3C"/>
    <w:rsid w:val="003952E7"/>
    <w:rsid w:val="00395553"/>
    <w:rsid w:val="00397749"/>
    <w:rsid w:val="003A1979"/>
    <w:rsid w:val="003A19F4"/>
    <w:rsid w:val="003A3986"/>
    <w:rsid w:val="003A4478"/>
    <w:rsid w:val="003A4CAD"/>
    <w:rsid w:val="003A64C8"/>
    <w:rsid w:val="003A69D3"/>
    <w:rsid w:val="003A7F0D"/>
    <w:rsid w:val="003B00FF"/>
    <w:rsid w:val="003B0414"/>
    <w:rsid w:val="003B09E5"/>
    <w:rsid w:val="003B105C"/>
    <w:rsid w:val="003B42EA"/>
    <w:rsid w:val="003B4550"/>
    <w:rsid w:val="003B4949"/>
    <w:rsid w:val="003B499A"/>
    <w:rsid w:val="003B5452"/>
    <w:rsid w:val="003B5D7B"/>
    <w:rsid w:val="003B6D29"/>
    <w:rsid w:val="003B7156"/>
    <w:rsid w:val="003C0FA9"/>
    <w:rsid w:val="003C18A0"/>
    <w:rsid w:val="003C1B54"/>
    <w:rsid w:val="003C2553"/>
    <w:rsid w:val="003C3000"/>
    <w:rsid w:val="003C3013"/>
    <w:rsid w:val="003C4B50"/>
    <w:rsid w:val="003C4E65"/>
    <w:rsid w:val="003C7DBC"/>
    <w:rsid w:val="003D0FED"/>
    <w:rsid w:val="003D1772"/>
    <w:rsid w:val="003D3804"/>
    <w:rsid w:val="003D39F4"/>
    <w:rsid w:val="003D512D"/>
    <w:rsid w:val="003D55A7"/>
    <w:rsid w:val="003D7527"/>
    <w:rsid w:val="003E1AC9"/>
    <w:rsid w:val="003E1DAE"/>
    <w:rsid w:val="003E1E82"/>
    <w:rsid w:val="003E2465"/>
    <w:rsid w:val="003E4B05"/>
    <w:rsid w:val="003E5CB6"/>
    <w:rsid w:val="003E5DFF"/>
    <w:rsid w:val="003E7615"/>
    <w:rsid w:val="003F0BC4"/>
    <w:rsid w:val="003F618B"/>
    <w:rsid w:val="003F6374"/>
    <w:rsid w:val="0040007D"/>
    <w:rsid w:val="0040065D"/>
    <w:rsid w:val="00400B2C"/>
    <w:rsid w:val="004015F0"/>
    <w:rsid w:val="00403F3A"/>
    <w:rsid w:val="0040414D"/>
    <w:rsid w:val="00407C99"/>
    <w:rsid w:val="00410949"/>
    <w:rsid w:val="00411552"/>
    <w:rsid w:val="00412116"/>
    <w:rsid w:val="00414BC1"/>
    <w:rsid w:val="00415161"/>
    <w:rsid w:val="0041581B"/>
    <w:rsid w:val="00415E5D"/>
    <w:rsid w:val="004168BC"/>
    <w:rsid w:val="00416B65"/>
    <w:rsid w:val="00417401"/>
    <w:rsid w:val="00420ABB"/>
    <w:rsid w:val="00421330"/>
    <w:rsid w:val="00422FE0"/>
    <w:rsid w:val="004248F7"/>
    <w:rsid w:val="00424D51"/>
    <w:rsid w:val="00425E9C"/>
    <w:rsid w:val="004262B3"/>
    <w:rsid w:val="004325A5"/>
    <w:rsid w:val="00432F1C"/>
    <w:rsid w:val="00434C71"/>
    <w:rsid w:val="00435869"/>
    <w:rsid w:val="004364ED"/>
    <w:rsid w:val="00436671"/>
    <w:rsid w:val="00436C39"/>
    <w:rsid w:val="0043783E"/>
    <w:rsid w:val="00441CDA"/>
    <w:rsid w:val="0044505A"/>
    <w:rsid w:val="004454A1"/>
    <w:rsid w:val="00445B26"/>
    <w:rsid w:val="0044662A"/>
    <w:rsid w:val="004502FD"/>
    <w:rsid w:val="00451421"/>
    <w:rsid w:val="004548CE"/>
    <w:rsid w:val="00455C09"/>
    <w:rsid w:val="00456BA8"/>
    <w:rsid w:val="00456F19"/>
    <w:rsid w:val="00460061"/>
    <w:rsid w:val="00461206"/>
    <w:rsid w:val="0046140A"/>
    <w:rsid w:val="0046475A"/>
    <w:rsid w:val="00464A6A"/>
    <w:rsid w:val="00475843"/>
    <w:rsid w:val="00476506"/>
    <w:rsid w:val="0047675A"/>
    <w:rsid w:val="00481908"/>
    <w:rsid w:val="00482AE7"/>
    <w:rsid w:val="004847C0"/>
    <w:rsid w:val="00484C05"/>
    <w:rsid w:val="00485008"/>
    <w:rsid w:val="00485234"/>
    <w:rsid w:val="00485FB0"/>
    <w:rsid w:val="00486064"/>
    <w:rsid w:val="00486128"/>
    <w:rsid w:val="00490359"/>
    <w:rsid w:val="00494498"/>
    <w:rsid w:val="00494736"/>
    <w:rsid w:val="00495CDD"/>
    <w:rsid w:val="00496256"/>
    <w:rsid w:val="004A0F00"/>
    <w:rsid w:val="004A102B"/>
    <w:rsid w:val="004A235D"/>
    <w:rsid w:val="004A409E"/>
    <w:rsid w:val="004A56DE"/>
    <w:rsid w:val="004A66BC"/>
    <w:rsid w:val="004B033B"/>
    <w:rsid w:val="004B0F0C"/>
    <w:rsid w:val="004B172B"/>
    <w:rsid w:val="004B1791"/>
    <w:rsid w:val="004B3C92"/>
    <w:rsid w:val="004B4D6E"/>
    <w:rsid w:val="004B5C33"/>
    <w:rsid w:val="004B73FA"/>
    <w:rsid w:val="004C09F5"/>
    <w:rsid w:val="004C329C"/>
    <w:rsid w:val="004C34C7"/>
    <w:rsid w:val="004C3BD0"/>
    <w:rsid w:val="004C55AD"/>
    <w:rsid w:val="004C61A3"/>
    <w:rsid w:val="004C741F"/>
    <w:rsid w:val="004C7FDA"/>
    <w:rsid w:val="004D283E"/>
    <w:rsid w:val="004D4672"/>
    <w:rsid w:val="004D5015"/>
    <w:rsid w:val="004D555F"/>
    <w:rsid w:val="004D798D"/>
    <w:rsid w:val="004E0B61"/>
    <w:rsid w:val="004E1E34"/>
    <w:rsid w:val="004E2485"/>
    <w:rsid w:val="004E4C4F"/>
    <w:rsid w:val="004E4D48"/>
    <w:rsid w:val="004E6246"/>
    <w:rsid w:val="004E719F"/>
    <w:rsid w:val="004E7283"/>
    <w:rsid w:val="004E7B37"/>
    <w:rsid w:val="004F1B2F"/>
    <w:rsid w:val="004F2233"/>
    <w:rsid w:val="004F3793"/>
    <w:rsid w:val="004F532D"/>
    <w:rsid w:val="004F5BE7"/>
    <w:rsid w:val="004F637C"/>
    <w:rsid w:val="004F6FBA"/>
    <w:rsid w:val="005018BA"/>
    <w:rsid w:val="005018DC"/>
    <w:rsid w:val="005032D7"/>
    <w:rsid w:val="00513F28"/>
    <w:rsid w:val="00517595"/>
    <w:rsid w:val="005205D9"/>
    <w:rsid w:val="0052078C"/>
    <w:rsid w:val="00521558"/>
    <w:rsid w:val="005220F7"/>
    <w:rsid w:val="00524740"/>
    <w:rsid w:val="00524884"/>
    <w:rsid w:val="005248EA"/>
    <w:rsid w:val="005271AC"/>
    <w:rsid w:val="005277C7"/>
    <w:rsid w:val="005307FA"/>
    <w:rsid w:val="00531700"/>
    <w:rsid w:val="005327CF"/>
    <w:rsid w:val="00534272"/>
    <w:rsid w:val="00540339"/>
    <w:rsid w:val="00542732"/>
    <w:rsid w:val="00542E7E"/>
    <w:rsid w:val="00546B5D"/>
    <w:rsid w:val="0054704C"/>
    <w:rsid w:val="005477A6"/>
    <w:rsid w:val="00547E43"/>
    <w:rsid w:val="005504A7"/>
    <w:rsid w:val="00554AF8"/>
    <w:rsid w:val="0055667A"/>
    <w:rsid w:val="0055676B"/>
    <w:rsid w:val="005571B9"/>
    <w:rsid w:val="005602F5"/>
    <w:rsid w:val="00560DD8"/>
    <w:rsid w:val="005627A0"/>
    <w:rsid w:val="00562ADE"/>
    <w:rsid w:val="00562FCB"/>
    <w:rsid w:val="0056345B"/>
    <w:rsid w:val="005637F2"/>
    <w:rsid w:val="005663A0"/>
    <w:rsid w:val="00567918"/>
    <w:rsid w:val="00570C08"/>
    <w:rsid w:val="0057284A"/>
    <w:rsid w:val="005740C2"/>
    <w:rsid w:val="00575E5F"/>
    <w:rsid w:val="005761D5"/>
    <w:rsid w:val="00581689"/>
    <w:rsid w:val="00581CF0"/>
    <w:rsid w:val="00583172"/>
    <w:rsid w:val="005832B3"/>
    <w:rsid w:val="005833C5"/>
    <w:rsid w:val="00584DD2"/>
    <w:rsid w:val="005911CF"/>
    <w:rsid w:val="00592032"/>
    <w:rsid w:val="00594196"/>
    <w:rsid w:val="00594C61"/>
    <w:rsid w:val="00596897"/>
    <w:rsid w:val="0059704A"/>
    <w:rsid w:val="0059746F"/>
    <w:rsid w:val="00597529"/>
    <w:rsid w:val="00597C5B"/>
    <w:rsid w:val="005A1D21"/>
    <w:rsid w:val="005A24CC"/>
    <w:rsid w:val="005A3D5C"/>
    <w:rsid w:val="005A41D8"/>
    <w:rsid w:val="005A5509"/>
    <w:rsid w:val="005A76BA"/>
    <w:rsid w:val="005B22F5"/>
    <w:rsid w:val="005B274B"/>
    <w:rsid w:val="005B31FD"/>
    <w:rsid w:val="005B32BE"/>
    <w:rsid w:val="005B42CC"/>
    <w:rsid w:val="005B45A2"/>
    <w:rsid w:val="005B5BC8"/>
    <w:rsid w:val="005C545E"/>
    <w:rsid w:val="005C5B24"/>
    <w:rsid w:val="005D09A4"/>
    <w:rsid w:val="005D1574"/>
    <w:rsid w:val="005D1C6B"/>
    <w:rsid w:val="005D2238"/>
    <w:rsid w:val="005D6AAD"/>
    <w:rsid w:val="005D7C6B"/>
    <w:rsid w:val="005E02D3"/>
    <w:rsid w:val="005E335C"/>
    <w:rsid w:val="005E46D2"/>
    <w:rsid w:val="005E46E5"/>
    <w:rsid w:val="005E643B"/>
    <w:rsid w:val="005E72B4"/>
    <w:rsid w:val="005E7606"/>
    <w:rsid w:val="005F2692"/>
    <w:rsid w:val="005F338B"/>
    <w:rsid w:val="005F57F5"/>
    <w:rsid w:val="005F5A28"/>
    <w:rsid w:val="005F5A62"/>
    <w:rsid w:val="005F792F"/>
    <w:rsid w:val="00601486"/>
    <w:rsid w:val="00601749"/>
    <w:rsid w:val="00603101"/>
    <w:rsid w:val="0060360D"/>
    <w:rsid w:val="00604782"/>
    <w:rsid w:val="00605408"/>
    <w:rsid w:val="00605DB2"/>
    <w:rsid w:val="00606A1D"/>
    <w:rsid w:val="00610A8F"/>
    <w:rsid w:val="0061222B"/>
    <w:rsid w:val="006124A1"/>
    <w:rsid w:val="0061315D"/>
    <w:rsid w:val="006132BE"/>
    <w:rsid w:val="00613ECA"/>
    <w:rsid w:val="00614263"/>
    <w:rsid w:val="006168EE"/>
    <w:rsid w:val="00616C3E"/>
    <w:rsid w:val="00616F22"/>
    <w:rsid w:val="006212F3"/>
    <w:rsid w:val="00621DEA"/>
    <w:rsid w:val="00622502"/>
    <w:rsid w:val="00622581"/>
    <w:rsid w:val="00622D69"/>
    <w:rsid w:val="00624689"/>
    <w:rsid w:val="00625498"/>
    <w:rsid w:val="0062565E"/>
    <w:rsid w:val="00625B67"/>
    <w:rsid w:val="00627BF0"/>
    <w:rsid w:val="00627D1E"/>
    <w:rsid w:val="00627F4B"/>
    <w:rsid w:val="00630869"/>
    <w:rsid w:val="00632078"/>
    <w:rsid w:val="00635EBD"/>
    <w:rsid w:val="006375F9"/>
    <w:rsid w:val="00640724"/>
    <w:rsid w:val="00640E58"/>
    <w:rsid w:val="00641AF7"/>
    <w:rsid w:val="00642C12"/>
    <w:rsid w:val="006449D4"/>
    <w:rsid w:val="0065077E"/>
    <w:rsid w:val="006511A1"/>
    <w:rsid w:val="00651E79"/>
    <w:rsid w:val="00653BEA"/>
    <w:rsid w:val="00654A21"/>
    <w:rsid w:val="00654EAD"/>
    <w:rsid w:val="0065533F"/>
    <w:rsid w:val="00657CE7"/>
    <w:rsid w:val="00657D5B"/>
    <w:rsid w:val="00657D65"/>
    <w:rsid w:val="00661ABA"/>
    <w:rsid w:val="00662BB4"/>
    <w:rsid w:val="00663634"/>
    <w:rsid w:val="00663781"/>
    <w:rsid w:val="00670BA3"/>
    <w:rsid w:val="00671D41"/>
    <w:rsid w:val="006722EB"/>
    <w:rsid w:val="00672617"/>
    <w:rsid w:val="006731E4"/>
    <w:rsid w:val="00673567"/>
    <w:rsid w:val="00674224"/>
    <w:rsid w:val="00675E3B"/>
    <w:rsid w:val="00677074"/>
    <w:rsid w:val="00680615"/>
    <w:rsid w:val="00681A9B"/>
    <w:rsid w:val="0068617C"/>
    <w:rsid w:val="00686369"/>
    <w:rsid w:val="00686553"/>
    <w:rsid w:val="00690202"/>
    <w:rsid w:val="00690A25"/>
    <w:rsid w:val="00691783"/>
    <w:rsid w:val="00693D67"/>
    <w:rsid w:val="00693EC1"/>
    <w:rsid w:val="006955EC"/>
    <w:rsid w:val="00695637"/>
    <w:rsid w:val="006961E7"/>
    <w:rsid w:val="006A2727"/>
    <w:rsid w:val="006A3055"/>
    <w:rsid w:val="006A78F8"/>
    <w:rsid w:val="006A796F"/>
    <w:rsid w:val="006B1DDE"/>
    <w:rsid w:val="006B2726"/>
    <w:rsid w:val="006B275E"/>
    <w:rsid w:val="006B2A00"/>
    <w:rsid w:val="006B3971"/>
    <w:rsid w:val="006B62F4"/>
    <w:rsid w:val="006B6386"/>
    <w:rsid w:val="006B6762"/>
    <w:rsid w:val="006B7837"/>
    <w:rsid w:val="006C0826"/>
    <w:rsid w:val="006C09C2"/>
    <w:rsid w:val="006C12ED"/>
    <w:rsid w:val="006C2446"/>
    <w:rsid w:val="006C5014"/>
    <w:rsid w:val="006C52CF"/>
    <w:rsid w:val="006C540B"/>
    <w:rsid w:val="006C5D60"/>
    <w:rsid w:val="006C6210"/>
    <w:rsid w:val="006C7CFE"/>
    <w:rsid w:val="006D0718"/>
    <w:rsid w:val="006D2A2D"/>
    <w:rsid w:val="006D6794"/>
    <w:rsid w:val="006D6D90"/>
    <w:rsid w:val="006D7092"/>
    <w:rsid w:val="006E2B4B"/>
    <w:rsid w:val="006E3567"/>
    <w:rsid w:val="006E44B9"/>
    <w:rsid w:val="006E50F4"/>
    <w:rsid w:val="006E5271"/>
    <w:rsid w:val="006E55FB"/>
    <w:rsid w:val="006E6059"/>
    <w:rsid w:val="006E6D3E"/>
    <w:rsid w:val="006F0FD7"/>
    <w:rsid w:val="006F2487"/>
    <w:rsid w:val="006F293D"/>
    <w:rsid w:val="006F2AA0"/>
    <w:rsid w:val="006F3B7F"/>
    <w:rsid w:val="006F4243"/>
    <w:rsid w:val="006F55C0"/>
    <w:rsid w:val="006F5D29"/>
    <w:rsid w:val="006F7026"/>
    <w:rsid w:val="00700E23"/>
    <w:rsid w:val="007015B2"/>
    <w:rsid w:val="007018FE"/>
    <w:rsid w:val="007057EC"/>
    <w:rsid w:val="0070753F"/>
    <w:rsid w:val="00712919"/>
    <w:rsid w:val="00714008"/>
    <w:rsid w:val="007153E1"/>
    <w:rsid w:val="0071541A"/>
    <w:rsid w:val="00721546"/>
    <w:rsid w:val="0072254A"/>
    <w:rsid w:val="0072334E"/>
    <w:rsid w:val="00724286"/>
    <w:rsid w:val="00724685"/>
    <w:rsid w:val="00725C66"/>
    <w:rsid w:val="00731D1D"/>
    <w:rsid w:val="00731E6B"/>
    <w:rsid w:val="00731FB7"/>
    <w:rsid w:val="00732002"/>
    <w:rsid w:val="00733C94"/>
    <w:rsid w:val="00733F51"/>
    <w:rsid w:val="00742E4C"/>
    <w:rsid w:val="007434DB"/>
    <w:rsid w:val="00743731"/>
    <w:rsid w:val="00743981"/>
    <w:rsid w:val="007454B2"/>
    <w:rsid w:val="0074709B"/>
    <w:rsid w:val="007536BB"/>
    <w:rsid w:val="007537B7"/>
    <w:rsid w:val="00754B77"/>
    <w:rsid w:val="007558B9"/>
    <w:rsid w:val="00757C27"/>
    <w:rsid w:val="0076029D"/>
    <w:rsid w:val="00763C8C"/>
    <w:rsid w:val="00764048"/>
    <w:rsid w:val="0077009E"/>
    <w:rsid w:val="007726D0"/>
    <w:rsid w:val="00772FCF"/>
    <w:rsid w:val="00773FF6"/>
    <w:rsid w:val="00774324"/>
    <w:rsid w:val="0077453B"/>
    <w:rsid w:val="0077454C"/>
    <w:rsid w:val="00774577"/>
    <w:rsid w:val="00774E95"/>
    <w:rsid w:val="007750B8"/>
    <w:rsid w:val="0077659A"/>
    <w:rsid w:val="00777891"/>
    <w:rsid w:val="00780A9A"/>
    <w:rsid w:val="00781132"/>
    <w:rsid w:val="0078130E"/>
    <w:rsid w:val="00781D0E"/>
    <w:rsid w:val="007846F6"/>
    <w:rsid w:val="00784E94"/>
    <w:rsid w:val="00785D3A"/>
    <w:rsid w:val="00785F6D"/>
    <w:rsid w:val="00786749"/>
    <w:rsid w:val="00786B07"/>
    <w:rsid w:val="007910F4"/>
    <w:rsid w:val="00793D30"/>
    <w:rsid w:val="00793F85"/>
    <w:rsid w:val="00794C5F"/>
    <w:rsid w:val="007A0FE4"/>
    <w:rsid w:val="007A14C6"/>
    <w:rsid w:val="007A21ED"/>
    <w:rsid w:val="007A4CD5"/>
    <w:rsid w:val="007A5663"/>
    <w:rsid w:val="007A6C75"/>
    <w:rsid w:val="007A73D9"/>
    <w:rsid w:val="007B1E19"/>
    <w:rsid w:val="007B1ED2"/>
    <w:rsid w:val="007B33AF"/>
    <w:rsid w:val="007B362E"/>
    <w:rsid w:val="007B55C5"/>
    <w:rsid w:val="007B75DE"/>
    <w:rsid w:val="007C3816"/>
    <w:rsid w:val="007C4A58"/>
    <w:rsid w:val="007C5976"/>
    <w:rsid w:val="007C6CFE"/>
    <w:rsid w:val="007C7515"/>
    <w:rsid w:val="007D2F0F"/>
    <w:rsid w:val="007D5719"/>
    <w:rsid w:val="007D5B64"/>
    <w:rsid w:val="007D6430"/>
    <w:rsid w:val="007D7CB9"/>
    <w:rsid w:val="007E0087"/>
    <w:rsid w:val="007E24A8"/>
    <w:rsid w:val="007E62BB"/>
    <w:rsid w:val="007F15AF"/>
    <w:rsid w:val="007F18B5"/>
    <w:rsid w:val="007F1B9B"/>
    <w:rsid w:val="007F21F5"/>
    <w:rsid w:val="007F37DC"/>
    <w:rsid w:val="007F3A6D"/>
    <w:rsid w:val="007F56A6"/>
    <w:rsid w:val="007F6525"/>
    <w:rsid w:val="007F707A"/>
    <w:rsid w:val="007F7512"/>
    <w:rsid w:val="0080106C"/>
    <w:rsid w:val="00802CD7"/>
    <w:rsid w:val="00803E55"/>
    <w:rsid w:val="00804A0C"/>
    <w:rsid w:val="008073D9"/>
    <w:rsid w:val="00810721"/>
    <w:rsid w:val="00811398"/>
    <w:rsid w:val="00814CB0"/>
    <w:rsid w:val="00816D8C"/>
    <w:rsid w:val="00817D62"/>
    <w:rsid w:val="00817F17"/>
    <w:rsid w:val="0082060E"/>
    <w:rsid w:val="00820E96"/>
    <w:rsid w:val="00822D57"/>
    <w:rsid w:val="00824925"/>
    <w:rsid w:val="00825041"/>
    <w:rsid w:val="0082569A"/>
    <w:rsid w:val="00825836"/>
    <w:rsid w:val="008267C5"/>
    <w:rsid w:val="00827671"/>
    <w:rsid w:val="00827D20"/>
    <w:rsid w:val="008316A6"/>
    <w:rsid w:val="00831DCB"/>
    <w:rsid w:val="008348E9"/>
    <w:rsid w:val="00835438"/>
    <w:rsid w:val="00836020"/>
    <w:rsid w:val="008362F7"/>
    <w:rsid w:val="00837A42"/>
    <w:rsid w:val="008441EB"/>
    <w:rsid w:val="00844816"/>
    <w:rsid w:val="00844F0A"/>
    <w:rsid w:val="00847783"/>
    <w:rsid w:val="00850E51"/>
    <w:rsid w:val="00852DCE"/>
    <w:rsid w:val="00853768"/>
    <w:rsid w:val="00856593"/>
    <w:rsid w:val="0086304A"/>
    <w:rsid w:val="008631A8"/>
    <w:rsid w:val="00864DF0"/>
    <w:rsid w:val="0086500A"/>
    <w:rsid w:val="008655E6"/>
    <w:rsid w:val="0086740C"/>
    <w:rsid w:val="008706F3"/>
    <w:rsid w:val="00870CD5"/>
    <w:rsid w:val="0087665C"/>
    <w:rsid w:val="008770F4"/>
    <w:rsid w:val="0088126E"/>
    <w:rsid w:val="00881EA8"/>
    <w:rsid w:val="0088238C"/>
    <w:rsid w:val="00882F0A"/>
    <w:rsid w:val="00886B53"/>
    <w:rsid w:val="00887542"/>
    <w:rsid w:val="008875DE"/>
    <w:rsid w:val="008908DC"/>
    <w:rsid w:val="008968BC"/>
    <w:rsid w:val="00897651"/>
    <w:rsid w:val="008A14A3"/>
    <w:rsid w:val="008A1CDB"/>
    <w:rsid w:val="008A39CB"/>
    <w:rsid w:val="008A417E"/>
    <w:rsid w:val="008A56B3"/>
    <w:rsid w:val="008A5A52"/>
    <w:rsid w:val="008A5BEB"/>
    <w:rsid w:val="008A6593"/>
    <w:rsid w:val="008A7B6E"/>
    <w:rsid w:val="008B03F4"/>
    <w:rsid w:val="008B1AAD"/>
    <w:rsid w:val="008B3046"/>
    <w:rsid w:val="008B3817"/>
    <w:rsid w:val="008C095A"/>
    <w:rsid w:val="008C1BBC"/>
    <w:rsid w:val="008C1DDA"/>
    <w:rsid w:val="008C3C6D"/>
    <w:rsid w:val="008C6039"/>
    <w:rsid w:val="008C709E"/>
    <w:rsid w:val="008D29D4"/>
    <w:rsid w:val="008D403D"/>
    <w:rsid w:val="008D557F"/>
    <w:rsid w:val="008D5C9A"/>
    <w:rsid w:val="008D5ED3"/>
    <w:rsid w:val="008D7DA7"/>
    <w:rsid w:val="008E0924"/>
    <w:rsid w:val="008E2FC0"/>
    <w:rsid w:val="008E649B"/>
    <w:rsid w:val="008E64C8"/>
    <w:rsid w:val="008E6CF6"/>
    <w:rsid w:val="008E7335"/>
    <w:rsid w:val="008E7C28"/>
    <w:rsid w:val="008F0779"/>
    <w:rsid w:val="008F6461"/>
    <w:rsid w:val="008F6FF2"/>
    <w:rsid w:val="008F708C"/>
    <w:rsid w:val="008F70F0"/>
    <w:rsid w:val="008F77E9"/>
    <w:rsid w:val="00900DCE"/>
    <w:rsid w:val="00900E7B"/>
    <w:rsid w:val="00901E38"/>
    <w:rsid w:val="00902E91"/>
    <w:rsid w:val="009035C3"/>
    <w:rsid w:val="009040F4"/>
    <w:rsid w:val="00904201"/>
    <w:rsid w:val="00904BA2"/>
    <w:rsid w:val="00905705"/>
    <w:rsid w:val="00905EDB"/>
    <w:rsid w:val="0090695C"/>
    <w:rsid w:val="00906F8F"/>
    <w:rsid w:val="0091346B"/>
    <w:rsid w:val="00914585"/>
    <w:rsid w:val="009152B7"/>
    <w:rsid w:val="009173E3"/>
    <w:rsid w:val="009204AE"/>
    <w:rsid w:val="00920F78"/>
    <w:rsid w:val="00921D3D"/>
    <w:rsid w:val="00933B3A"/>
    <w:rsid w:val="00940C3D"/>
    <w:rsid w:val="009416F8"/>
    <w:rsid w:val="00941884"/>
    <w:rsid w:val="009419A9"/>
    <w:rsid w:val="00946331"/>
    <w:rsid w:val="0095131A"/>
    <w:rsid w:val="00951B9C"/>
    <w:rsid w:val="00952403"/>
    <w:rsid w:val="009526F9"/>
    <w:rsid w:val="00953523"/>
    <w:rsid w:val="00953AEE"/>
    <w:rsid w:val="00954CBC"/>
    <w:rsid w:val="00954EB9"/>
    <w:rsid w:val="00957F47"/>
    <w:rsid w:val="00962476"/>
    <w:rsid w:val="00964F6A"/>
    <w:rsid w:val="009658E9"/>
    <w:rsid w:val="00970A1B"/>
    <w:rsid w:val="00972BD1"/>
    <w:rsid w:val="00972ED7"/>
    <w:rsid w:val="009800D5"/>
    <w:rsid w:val="00980781"/>
    <w:rsid w:val="00981C75"/>
    <w:rsid w:val="009838AD"/>
    <w:rsid w:val="00983D45"/>
    <w:rsid w:val="009911B3"/>
    <w:rsid w:val="009918A6"/>
    <w:rsid w:val="009924ED"/>
    <w:rsid w:val="009926EC"/>
    <w:rsid w:val="009938FE"/>
    <w:rsid w:val="00993934"/>
    <w:rsid w:val="00994D49"/>
    <w:rsid w:val="00995C89"/>
    <w:rsid w:val="009962FD"/>
    <w:rsid w:val="009966DE"/>
    <w:rsid w:val="0099682E"/>
    <w:rsid w:val="009A4A7E"/>
    <w:rsid w:val="009A77F8"/>
    <w:rsid w:val="009A7DB6"/>
    <w:rsid w:val="009B0B93"/>
    <w:rsid w:val="009B2746"/>
    <w:rsid w:val="009C0307"/>
    <w:rsid w:val="009C1873"/>
    <w:rsid w:val="009C5579"/>
    <w:rsid w:val="009C5C23"/>
    <w:rsid w:val="009C73B5"/>
    <w:rsid w:val="009C759F"/>
    <w:rsid w:val="009D0829"/>
    <w:rsid w:val="009D0DFF"/>
    <w:rsid w:val="009D292B"/>
    <w:rsid w:val="009D2F82"/>
    <w:rsid w:val="009D3614"/>
    <w:rsid w:val="009E0276"/>
    <w:rsid w:val="009E0961"/>
    <w:rsid w:val="009E1652"/>
    <w:rsid w:val="009E3A37"/>
    <w:rsid w:val="009E3CA4"/>
    <w:rsid w:val="009E4E07"/>
    <w:rsid w:val="009E585E"/>
    <w:rsid w:val="009F0AF3"/>
    <w:rsid w:val="009F140A"/>
    <w:rsid w:val="009F1F95"/>
    <w:rsid w:val="009F5DC1"/>
    <w:rsid w:val="00A00CAE"/>
    <w:rsid w:val="00A03B74"/>
    <w:rsid w:val="00A03FFB"/>
    <w:rsid w:val="00A05236"/>
    <w:rsid w:val="00A05413"/>
    <w:rsid w:val="00A06CE7"/>
    <w:rsid w:val="00A07871"/>
    <w:rsid w:val="00A10A32"/>
    <w:rsid w:val="00A11CD4"/>
    <w:rsid w:val="00A1319C"/>
    <w:rsid w:val="00A1472B"/>
    <w:rsid w:val="00A15D32"/>
    <w:rsid w:val="00A1667C"/>
    <w:rsid w:val="00A16881"/>
    <w:rsid w:val="00A17E8A"/>
    <w:rsid w:val="00A21BF6"/>
    <w:rsid w:val="00A22761"/>
    <w:rsid w:val="00A22D21"/>
    <w:rsid w:val="00A23052"/>
    <w:rsid w:val="00A24F4C"/>
    <w:rsid w:val="00A2630D"/>
    <w:rsid w:val="00A30B8F"/>
    <w:rsid w:val="00A3131B"/>
    <w:rsid w:val="00A34414"/>
    <w:rsid w:val="00A35C62"/>
    <w:rsid w:val="00A37B93"/>
    <w:rsid w:val="00A406BD"/>
    <w:rsid w:val="00A440FF"/>
    <w:rsid w:val="00A443A2"/>
    <w:rsid w:val="00A44AD8"/>
    <w:rsid w:val="00A45859"/>
    <w:rsid w:val="00A45D71"/>
    <w:rsid w:val="00A4664D"/>
    <w:rsid w:val="00A47241"/>
    <w:rsid w:val="00A4775F"/>
    <w:rsid w:val="00A4798A"/>
    <w:rsid w:val="00A501DA"/>
    <w:rsid w:val="00A5079A"/>
    <w:rsid w:val="00A524AC"/>
    <w:rsid w:val="00A53E48"/>
    <w:rsid w:val="00A55E10"/>
    <w:rsid w:val="00A55E47"/>
    <w:rsid w:val="00A56323"/>
    <w:rsid w:val="00A5765B"/>
    <w:rsid w:val="00A6025C"/>
    <w:rsid w:val="00A60338"/>
    <w:rsid w:val="00A608CA"/>
    <w:rsid w:val="00A62041"/>
    <w:rsid w:val="00A62335"/>
    <w:rsid w:val="00A62C6B"/>
    <w:rsid w:val="00A64559"/>
    <w:rsid w:val="00A649DE"/>
    <w:rsid w:val="00A651DD"/>
    <w:rsid w:val="00A65E49"/>
    <w:rsid w:val="00A670EE"/>
    <w:rsid w:val="00A67BA1"/>
    <w:rsid w:val="00A70F0A"/>
    <w:rsid w:val="00A7215D"/>
    <w:rsid w:val="00A72BAD"/>
    <w:rsid w:val="00A7519A"/>
    <w:rsid w:val="00A75867"/>
    <w:rsid w:val="00A75A0A"/>
    <w:rsid w:val="00A763AF"/>
    <w:rsid w:val="00A77E15"/>
    <w:rsid w:val="00A804F0"/>
    <w:rsid w:val="00A80F5A"/>
    <w:rsid w:val="00A81190"/>
    <w:rsid w:val="00A81DE6"/>
    <w:rsid w:val="00A82063"/>
    <w:rsid w:val="00A83F1E"/>
    <w:rsid w:val="00A848E3"/>
    <w:rsid w:val="00A84E95"/>
    <w:rsid w:val="00A87877"/>
    <w:rsid w:val="00A92D6B"/>
    <w:rsid w:val="00A95207"/>
    <w:rsid w:val="00A965ED"/>
    <w:rsid w:val="00AA0374"/>
    <w:rsid w:val="00AA0420"/>
    <w:rsid w:val="00AA31FE"/>
    <w:rsid w:val="00AA5EC0"/>
    <w:rsid w:val="00AA61AF"/>
    <w:rsid w:val="00AB09F9"/>
    <w:rsid w:val="00AC21A4"/>
    <w:rsid w:val="00AC2F3D"/>
    <w:rsid w:val="00AC392A"/>
    <w:rsid w:val="00AC3A90"/>
    <w:rsid w:val="00AC4059"/>
    <w:rsid w:val="00AC43C3"/>
    <w:rsid w:val="00AC4B04"/>
    <w:rsid w:val="00AC73B1"/>
    <w:rsid w:val="00AC7BBF"/>
    <w:rsid w:val="00AD0976"/>
    <w:rsid w:val="00AD1D12"/>
    <w:rsid w:val="00AD1D20"/>
    <w:rsid w:val="00AD21CE"/>
    <w:rsid w:val="00AD2E0A"/>
    <w:rsid w:val="00AD2E9E"/>
    <w:rsid w:val="00AD3112"/>
    <w:rsid w:val="00AD5646"/>
    <w:rsid w:val="00AD5880"/>
    <w:rsid w:val="00AD63A5"/>
    <w:rsid w:val="00AD6AED"/>
    <w:rsid w:val="00AE2EFE"/>
    <w:rsid w:val="00AE5933"/>
    <w:rsid w:val="00AE5C9A"/>
    <w:rsid w:val="00AE6165"/>
    <w:rsid w:val="00AE619E"/>
    <w:rsid w:val="00AE7104"/>
    <w:rsid w:val="00AE7D5C"/>
    <w:rsid w:val="00AF0B4B"/>
    <w:rsid w:val="00AF11CF"/>
    <w:rsid w:val="00AF35C1"/>
    <w:rsid w:val="00AF3E34"/>
    <w:rsid w:val="00AF4007"/>
    <w:rsid w:val="00AF6EBC"/>
    <w:rsid w:val="00B001CD"/>
    <w:rsid w:val="00B04F4E"/>
    <w:rsid w:val="00B05778"/>
    <w:rsid w:val="00B117E2"/>
    <w:rsid w:val="00B1401D"/>
    <w:rsid w:val="00B157C0"/>
    <w:rsid w:val="00B162F0"/>
    <w:rsid w:val="00B16F7F"/>
    <w:rsid w:val="00B17AB2"/>
    <w:rsid w:val="00B201EF"/>
    <w:rsid w:val="00B20BCF"/>
    <w:rsid w:val="00B22755"/>
    <w:rsid w:val="00B22A9E"/>
    <w:rsid w:val="00B22EAC"/>
    <w:rsid w:val="00B23958"/>
    <w:rsid w:val="00B23D07"/>
    <w:rsid w:val="00B24E0D"/>
    <w:rsid w:val="00B27550"/>
    <w:rsid w:val="00B315A4"/>
    <w:rsid w:val="00B33166"/>
    <w:rsid w:val="00B3393B"/>
    <w:rsid w:val="00B345F1"/>
    <w:rsid w:val="00B34CD1"/>
    <w:rsid w:val="00B36201"/>
    <w:rsid w:val="00B37733"/>
    <w:rsid w:val="00B37DB0"/>
    <w:rsid w:val="00B412CF"/>
    <w:rsid w:val="00B418C8"/>
    <w:rsid w:val="00B41F85"/>
    <w:rsid w:val="00B42DAE"/>
    <w:rsid w:val="00B46471"/>
    <w:rsid w:val="00B500AE"/>
    <w:rsid w:val="00B50E46"/>
    <w:rsid w:val="00B52A06"/>
    <w:rsid w:val="00B535AC"/>
    <w:rsid w:val="00B54957"/>
    <w:rsid w:val="00B56501"/>
    <w:rsid w:val="00B56819"/>
    <w:rsid w:val="00B56C2B"/>
    <w:rsid w:val="00B61647"/>
    <w:rsid w:val="00B618F4"/>
    <w:rsid w:val="00B61CBA"/>
    <w:rsid w:val="00B61E6F"/>
    <w:rsid w:val="00B6292B"/>
    <w:rsid w:val="00B6354E"/>
    <w:rsid w:val="00B635F9"/>
    <w:rsid w:val="00B651B3"/>
    <w:rsid w:val="00B67006"/>
    <w:rsid w:val="00B701F6"/>
    <w:rsid w:val="00B70649"/>
    <w:rsid w:val="00B77F9D"/>
    <w:rsid w:val="00B80CF6"/>
    <w:rsid w:val="00B82878"/>
    <w:rsid w:val="00B83939"/>
    <w:rsid w:val="00B83FFB"/>
    <w:rsid w:val="00B84706"/>
    <w:rsid w:val="00B85432"/>
    <w:rsid w:val="00B8691C"/>
    <w:rsid w:val="00B90A27"/>
    <w:rsid w:val="00B92927"/>
    <w:rsid w:val="00B93C64"/>
    <w:rsid w:val="00B95ED9"/>
    <w:rsid w:val="00B96179"/>
    <w:rsid w:val="00B96314"/>
    <w:rsid w:val="00B96C6A"/>
    <w:rsid w:val="00BA2053"/>
    <w:rsid w:val="00BA2BCA"/>
    <w:rsid w:val="00BA3B42"/>
    <w:rsid w:val="00BA4976"/>
    <w:rsid w:val="00BA622C"/>
    <w:rsid w:val="00BA6B13"/>
    <w:rsid w:val="00BA717E"/>
    <w:rsid w:val="00BB13AC"/>
    <w:rsid w:val="00BB163C"/>
    <w:rsid w:val="00BB26D6"/>
    <w:rsid w:val="00BB2D41"/>
    <w:rsid w:val="00BB30F7"/>
    <w:rsid w:val="00BB314B"/>
    <w:rsid w:val="00BB3EF2"/>
    <w:rsid w:val="00BB43CF"/>
    <w:rsid w:val="00BB5480"/>
    <w:rsid w:val="00BC121A"/>
    <w:rsid w:val="00BC1F84"/>
    <w:rsid w:val="00BC36D6"/>
    <w:rsid w:val="00BC36D8"/>
    <w:rsid w:val="00BC393B"/>
    <w:rsid w:val="00BC4959"/>
    <w:rsid w:val="00BC4BA0"/>
    <w:rsid w:val="00BC4BD1"/>
    <w:rsid w:val="00BC6464"/>
    <w:rsid w:val="00BD114B"/>
    <w:rsid w:val="00BD1FD4"/>
    <w:rsid w:val="00BD340C"/>
    <w:rsid w:val="00BD4EFB"/>
    <w:rsid w:val="00BD505A"/>
    <w:rsid w:val="00BD5F80"/>
    <w:rsid w:val="00BD6B69"/>
    <w:rsid w:val="00BD750E"/>
    <w:rsid w:val="00BE191C"/>
    <w:rsid w:val="00BE23BB"/>
    <w:rsid w:val="00BE39EA"/>
    <w:rsid w:val="00BE4876"/>
    <w:rsid w:val="00BE5971"/>
    <w:rsid w:val="00BE6EA3"/>
    <w:rsid w:val="00BF19D3"/>
    <w:rsid w:val="00BF19D5"/>
    <w:rsid w:val="00BF27BD"/>
    <w:rsid w:val="00BF2F7B"/>
    <w:rsid w:val="00BF34B3"/>
    <w:rsid w:val="00BF4A04"/>
    <w:rsid w:val="00BF4CE9"/>
    <w:rsid w:val="00BF4E4A"/>
    <w:rsid w:val="00BF6668"/>
    <w:rsid w:val="00BF71F7"/>
    <w:rsid w:val="00C00526"/>
    <w:rsid w:val="00C007B1"/>
    <w:rsid w:val="00C00EC0"/>
    <w:rsid w:val="00C025CE"/>
    <w:rsid w:val="00C029A3"/>
    <w:rsid w:val="00C02D09"/>
    <w:rsid w:val="00C02D18"/>
    <w:rsid w:val="00C032F3"/>
    <w:rsid w:val="00C057D4"/>
    <w:rsid w:val="00C06EEE"/>
    <w:rsid w:val="00C11C2F"/>
    <w:rsid w:val="00C15E41"/>
    <w:rsid w:val="00C15E70"/>
    <w:rsid w:val="00C16F88"/>
    <w:rsid w:val="00C17284"/>
    <w:rsid w:val="00C209CD"/>
    <w:rsid w:val="00C220DE"/>
    <w:rsid w:val="00C25481"/>
    <w:rsid w:val="00C2594B"/>
    <w:rsid w:val="00C31576"/>
    <w:rsid w:val="00C3314B"/>
    <w:rsid w:val="00C3357C"/>
    <w:rsid w:val="00C335A5"/>
    <w:rsid w:val="00C33C6D"/>
    <w:rsid w:val="00C357DB"/>
    <w:rsid w:val="00C35938"/>
    <w:rsid w:val="00C368BE"/>
    <w:rsid w:val="00C43244"/>
    <w:rsid w:val="00C43982"/>
    <w:rsid w:val="00C43E2C"/>
    <w:rsid w:val="00C44E11"/>
    <w:rsid w:val="00C45A09"/>
    <w:rsid w:val="00C47BEC"/>
    <w:rsid w:val="00C50936"/>
    <w:rsid w:val="00C50F95"/>
    <w:rsid w:val="00C50FBA"/>
    <w:rsid w:val="00C512C1"/>
    <w:rsid w:val="00C519F2"/>
    <w:rsid w:val="00C5306F"/>
    <w:rsid w:val="00C534FA"/>
    <w:rsid w:val="00C540BF"/>
    <w:rsid w:val="00C54A35"/>
    <w:rsid w:val="00C557DC"/>
    <w:rsid w:val="00C609E0"/>
    <w:rsid w:val="00C669E9"/>
    <w:rsid w:val="00C678C0"/>
    <w:rsid w:val="00C704FE"/>
    <w:rsid w:val="00C70889"/>
    <w:rsid w:val="00C73B7A"/>
    <w:rsid w:val="00C7408A"/>
    <w:rsid w:val="00C74A40"/>
    <w:rsid w:val="00C74CB3"/>
    <w:rsid w:val="00C77E40"/>
    <w:rsid w:val="00C82DBA"/>
    <w:rsid w:val="00C8311A"/>
    <w:rsid w:val="00C8436A"/>
    <w:rsid w:val="00C848E6"/>
    <w:rsid w:val="00C84DC2"/>
    <w:rsid w:val="00C90913"/>
    <w:rsid w:val="00C90A2C"/>
    <w:rsid w:val="00C90FF3"/>
    <w:rsid w:val="00C91210"/>
    <w:rsid w:val="00C91A1B"/>
    <w:rsid w:val="00C91BEC"/>
    <w:rsid w:val="00C91E15"/>
    <w:rsid w:val="00C9213B"/>
    <w:rsid w:val="00C93706"/>
    <w:rsid w:val="00C9413A"/>
    <w:rsid w:val="00C943F1"/>
    <w:rsid w:val="00C94A5C"/>
    <w:rsid w:val="00C95129"/>
    <w:rsid w:val="00C95805"/>
    <w:rsid w:val="00C961B8"/>
    <w:rsid w:val="00C972B3"/>
    <w:rsid w:val="00CA3A9B"/>
    <w:rsid w:val="00CA70B2"/>
    <w:rsid w:val="00CB1A3F"/>
    <w:rsid w:val="00CB3AB0"/>
    <w:rsid w:val="00CB43CB"/>
    <w:rsid w:val="00CB4DC0"/>
    <w:rsid w:val="00CB5335"/>
    <w:rsid w:val="00CB5CB8"/>
    <w:rsid w:val="00CB6282"/>
    <w:rsid w:val="00CB6C23"/>
    <w:rsid w:val="00CB6F33"/>
    <w:rsid w:val="00CB732D"/>
    <w:rsid w:val="00CB7634"/>
    <w:rsid w:val="00CC19F9"/>
    <w:rsid w:val="00CC1E33"/>
    <w:rsid w:val="00CC4B24"/>
    <w:rsid w:val="00CC5EC9"/>
    <w:rsid w:val="00CC6328"/>
    <w:rsid w:val="00CC7268"/>
    <w:rsid w:val="00CD3C57"/>
    <w:rsid w:val="00CD52B4"/>
    <w:rsid w:val="00CD5585"/>
    <w:rsid w:val="00CD7684"/>
    <w:rsid w:val="00CE082C"/>
    <w:rsid w:val="00CE0E97"/>
    <w:rsid w:val="00CE0F7D"/>
    <w:rsid w:val="00CE13EC"/>
    <w:rsid w:val="00CE1ECC"/>
    <w:rsid w:val="00CE2076"/>
    <w:rsid w:val="00CE2361"/>
    <w:rsid w:val="00CE24CC"/>
    <w:rsid w:val="00CE2D68"/>
    <w:rsid w:val="00CE5C15"/>
    <w:rsid w:val="00CE667A"/>
    <w:rsid w:val="00CE7B4B"/>
    <w:rsid w:val="00CF2E25"/>
    <w:rsid w:val="00CF3319"/>
    <w:rsid w:val="00CF5294"/>
    <w:rsid w:val="00CF5E27"/>
    <w:rsid w:val="00CF6E87"/>
    <w:rsid w:val="00D031FE"/>
    <w:rsid w:val="00D035A4"/>
    <w:rsid w:val="00D06835"/>
    <w:rsid w:val="00D100A4"/>
    <w:rsid w:val="00D13A89"/>
    <w:rsid w:val="00D1609D"/>
    <w:rsid w:val="00D1672B"/>
    <w:rsid w:val="00D16FBA"/>
    <w:rsid w:val="00D171D5"/>
    <w:rsid w:val="00D17343"/>
    <w:rsid w:val="00D175E7"/>
    <w:rsid w:val="00D2052C"/>
    <w:rsid w:val="00D20831"/>
    <w:rsid w:val="00D21B33"/>
    <w:rsid w:val="00D2229F"/>
    <w:rsid w:val="00D239A1"/>
    <w:rsid w:val="00D26921"/>
    <w:rsid w:val="00D269D2"/>
    <w:rsid w:val="00D26EB4"/>
    <w:rsid w:val="00D30976"/>
    <w:rsid w:val="00D30F05"/>
    <w:rsid w:val="00D3161A"/>
    <w:rsid w:val="00D32C3D"/>
    <w:rsid w:val="00D33355"/>
    <w:rsid w:val="00D349F8"/>
    <w:rsid w:val="00D34CC3"/>
    <w:rsid w:val="00D37949"/>
    <w:rsid w:val="00D43E63"/>
    <w:rsid w:val="00D45053"/>
    <w:rsid w:val="00D519FB"/>
    <w:rsid w:val="00D53D12"/>
    <w:rsid w:val="00D544E9"/>
    <w:rsid w:val="00D55753"/>
    <w:rsid w:val="00D60DA0"/>
    <w:rsid w:val="00D63D13"/>
    <w:rsid w:val="00D63DC2"/>
    <w:rsid w:val="00D63E4C"/>
    <w:rsid w:val="00D64504"/>
    <w:rsid w:val="00D646E4"/>
    <w:rsid w:val="00D66184"/>
    <w:rsid w:val="00D661CA"/>
    <w:rsid w:val="00D66B08"/>
    <w:rsid w:val="00D67DB0"/>
    <w:rsid w:val="00D7181D"/>
    <w:rsid w:val="00D71BF8"/>
    <w:rsid w:val="00D72EC7"/>
    <w:rsid w:val="00D743A6"/>
    <w:rsid w:val="00D766F9"/>
    <w:rsid w:val="00D8418D"/>
    <w:rsid w:val="00D85AC8"/>
    <w:rsid w:val="00D85FF5"/>
    <w:rsid w:val="00D87E5D"/>
    <w:rsid w:val="00D90609"/>
    <w:rsid w:val="00D90DCA"/>
    <w:rsid w:val="00D9163A"/>
    <w:rsid w:val="00D91935"/>
    <w:rsid w:val="00D92461"/>
    <w:rsid w:val="00D9612D"/>
    <w:rsid w:val="00D96449"/>
    <w:rsid w:val="00D97949"/>
    <w:rsid w:val="00DA0982"/>
    <w:rsid w:val="00DA0A6E"/>
    <w:rsid w:val="00DA4459"/>
    <w:rsid w:val="00DA4B9B"/>
    <w:rsid w:val="00DA68F4"/>
    <w:rsid w:val="00DA7033"/>
    <w:rsid w:val="00DA7049"/>
    <w:rsid w:val="00DB1096"/>
    <w:rsid w:val="00DB13A3"/>
    <w:rsid w:val="00DB1B48"/>
    <w:rsid w:val="00DB38E1"/>
    <w:rsid w:val="00DB4A16"/>
    <w:rsid w:val="00DB5F7B"/>
    <w:rsid w:val="00DC0116"/>
    <w:rsid w:val="00DC6CB3"/>
    <w:rsid w:val="00DD074B"/>
    <w:rsid w:val="00DD0B04"/>
    <w:rsid w:val="00DD0C24"/>
    <w:rsid w:val="00DD0E33"/>
    <w:rsid w:val="00DD169A"/>
    <w:rsid w:val="00DD249B"/>
    <w:rsid w:val="00DD2B0C"/>
    <w:rsid w:val="00DD3A77"/>
    <w:rsid w:val="00DD4048"/>
    <w:rsid w:val="00DD7071"/>
    <w:rsid w:val="00DE047B"/>
    <w:rsid w:val="00DE5E37"/>
    <w:rsid w:val="00DF07A5"/>
    <w:rsid w:val="00DF5E34"/>
    <w:rsid w:val="00DF72F4"/>
    <w:rsid w:val="00DF7448"/>
    <w:rsid w:val="00DF768C"/>
    <w:rsid w:val="00E00C94"/>
    <w:rsid w:val="00E01915"/>
    <w:rsid w:val="00E02CE9"/>
    <w:rsid w:val="00E03BEA"/>
    <w:rsid w:val="00E05F45"/>
    <w:rsid w:val="00E06A38"/>
    <w:rsid w:val="00E07109"/>
    <w:rsid w:val="00E10671"/>
    <w:rsid w:val="00E128CF"/>
    <w:rsid w:val="00E16086"/>
    <w:rsid w:val="00E223E0"/>
    <w:rsid w:val="00E22D40"/>
    <w:rsid w:val="00E24AC9"/>
    <w:rsid w:val="00E25656"/>
    <w:rsid w:val="00E27B34"/>
    <w:rsid w:val="00E30CC0"/>
    <w:rsid w:val="00E31B74"/>
    <w:rsid w:val="00E3352F"/>
    <w:rsid w:val="00E35F75"/>
    <w:rsid w:val="00E448FB"/>
    <w:rsid w:val="00E452E9"/>
    <w:rsid w:val="00E45356"/>
    <w:rsid w:val="00E46EC6"/>
    <w:rsid w:val="00E55FAB"/>
    <w:rsid w:val="00E60A35"/>
    <w:rsid w:val="00E620DA"/>
    <w:rsid w:val="00E625EC"/>
    <w:rsid w:val="00E62FA5"/>
    <w:rsid w:val="00E661AA"/>
    <w:rsid w:val="00E6719C"/>
    <w:rsid w:val="00E676ED"/>
    <w:rsid w:val="00E67C47"/>
    <w:rsid w:val="00E708B5"/>
    <w:rsid w:val="00E70950"/>
    <w:rsid w:val="00E70C75"/>
    <w:rsid w:val="00E70DED"/>
    <w:rsid w:val="00E7435F"/>
    <w:rsid w:val="00E775DC"/>
    <w:rsid w:val="00E779A6"/>
    <w:rsid w:val="00E80EC3"/>
    <w:rsid w:val="00E827A7"/>
    <w:rsid w:val="00E82894"/>
    <w:rsid w:val="00E83194"/>
    <w:rsid w:val="00E84FBD"/>
    <w:rsid w:val="00E85E01"/>
    <w:rsid w:val="00E92087"/>
    <w:rsid w:val="00E9379B"/>
    <w:rsid w:val="00E94D0C"/>
    <w:rsid w:val="00E963D8"/>
    <w:rsid w:val="00E971B5"/>
    <w:rsid w:val="00E974E7"/>
    <w:rsid w:val="00E97FC8"/>
    <w:rsid w:val="00EA0BBE"/>
    <w:rsid w:val="00EA12FB"/>
    <w:rsid w:val="00EA1ACB"/>
    <w:rsid w:val="00EA5067"/>
    <w:rsid w:val="00EA551C"/>
    <w:rsid w:val="00EA7B63"/>
    <w:rsid w:val="00EB064F"/>
    <w:rsid w:val="00EB080B"/>
    <w:rsid w:val="00EB088B"/>
    <w:rsid w:val="00EB0DFD"/>
    <w:rsid w:val="00EB1E32"/>
    <w:rsid w:val="00EB330B"/>
    <w:rsid w:val="00EB4696"/>
    <w:rsid w:val="00EB4B67"/>
    <w:rsid w:val="00EB5F70"/>
    <w:rsid w:val="00EB682A"/>
    <w:rsid w:val="00EC1365"/>
    <w:rsid w:val="00EC1686"/>
    <w:rsid w:val="00EC2BD8"/>
    <w:rsid w:val="00EC36BA"/>
    <w:rsid w:val="00EC39EB"/>
    <w:rsid w:val="00EC3F47"/>
    <w:rsid w:val="00EC59D4"/>
    <w:rsid w:val="00ED3A19"/>
    <w:rsid w:val="00ED523C"/>
    <w:rsid w:val="00ED6E3B"/>
    <w:rsid w:val="00EE41DC"/>
    <w:rsid w:val="00EF13F0"/>
    <w:rsid w:val="00EF1BFE"/>
    <w:rsid w:val="00EF1C08"/>
    <w:rsid w:val="00EF21C3"/>
    <w:rsid w:val="00EF343E"/>
    <w:rsid w:val="00EF3B2C"/>
    <w:rsid w:val="00EF5F19"/>
    <w:rsid w:val="00EF6017"/>
    <w:rsid w:val="00EF7060"/>
    <w:rsid w:val="00EF754C"/>
    <w:rsid w:val="00F0076D"/>
    <w:rsid w:val="00F0193B"/>
    <w:rsid w:val="00F06E83"/>
    <w:rsid w:val="00F10604"/>
    <w:rsid w:val="00F1228C"/>
    <w:rsid w:val="00F1321E"/>
    <w:rsid w:val="00F14547"/>
    <w:rsid w:val="00F14C02"/>
    <w:rsid w:val="00F16B66"/>
    <w:rsid w:val="00F17049"/>
    <w:rsid w:val="00F2067B"/>
    <w:rsid w:val="00F22221"/>
    <w:rsid w:val="00F24441"/>
    <w:rsid w:val="00F253AD"/>
    <w:rsid w:val="00F26665"/>
    <w:rsid w:val="00F27DC5"/>
    <w:rsid w:val="00F31139"/>
    <w:rsid w:val="00F32773"/>
    <w:rsid w:val="00F335E3"/>
    <w:rsid w:val="00F340B3"/>
    <w:rsid w:val="00F34A9A"/>
    <w:rsid w:val="00F35F4A"/>
    <w:rsid w:val="00F424D8"/>
    <w:rsid w:val="00F43C7C"/>
    <w:rsid w:val="00F4465B"/>
    <w:rsid w:val="00F45B67"/>
    <w:rsid w:val="00F470FE"/>
    <w:rsid w:val="00F472DD"/>
    <w:rsid w:val="00F50882"/>
    <w:rsid w:val="00F5132A"/>
    <w:rsid w:val="00F56A6D"/>
    <w:rsid w:val="00F57607"/>
    <w:rsid w:val="00F57D46"/>
    <w:rsid w:val="00F57E13"/>
    <w:rsid w:val="00F57EF6"/>
    <w:rsid w:val="00F60C06"/>
    <w:rsid w:val="00F61FAC"/>
    <w:rsid w:val="00F62D6D"/>
    <w:rsid w:val="00F63881"/>
    <w:rsid w:val="00F6639C"/>
    <w:rsid w:val="00F6723C"/>
    <w:rsid w:val="00F70E2D"/>
    <w:rsid w:val="00F72A54"/>
    <w:rsid w:val="00F73832"/>
    <w:rsid w:val="00F74102"/>
    <w:rsid w:val="00F758B8"/>
    <w:rsid w:val="00F76424"/>
    <w:rsid w:val="00F76543"/>
    <w:rsid w:val="00F80A3D"/>
    <w:rsid w:val="00F83C7A"/>
    <w:rsid w:val="00F8409C"/>
    <w:rsid w:val="00F85712"/>
    <w:rsid w:val="00F85945"/>
    <w:rsid w:val="00F86114"/>
    <w:rsid w:val="00F86944"/>
    <w:rsid w:val="00F87EA0"/>
    <w:rsid w:val="00F971F9"/>
    <w:rsid w:val="00FA0979"/>
    <w:rsid w:val="00FA0F75"/>
    <w:rsid w:val="00FA1866"/>
    <w:rsid w:val="00FA2D75"/>
    <w:rsid w:val="00FA3EED"/>
    <w:rsid w:val="00FA4622"/>
    <w:rsid w:val="00FA623A"/>
    <w:rsid w:val="00FA63BB"/>
    <w:rsid w:val="00FA65BF"/>
    <w:rsid w:val="00FA6997"/>
    <w:rsid w:val="00FA6EAD"/>
    <w:rsid w:val="00FA74A2"/>
    <w:rsid w:val="00FA7DA5"/>
    <w:rsid w:val="00FB2740"/>
    <w:rsid w:val="00FB2CB6"/>
    <w:rsid w:val="00FB7AFF"/>
    <w:rsid w:val="00FC2136"/>
    <w:rsid w:val="00FC2216"/>
    <w:rsid w:val="00FC4C33"/>
    <w:rsid w:val="00FC4F96"/>
    <w:rsid w:val="00FC6568"/>
    <w:rsid w:val="00FC7473"/>
    <w:rsid w:val="00FD0BA5"/>
    <w:rsid w:val="00FD1AAC"/>
    <w:rsid w:val="00FD1E82"/>
    <w:rsid w:val="00FD2DBE"/>
    <w:rsid w:val="00FD385B"/>
    <w:rsid w:val="00FD4185"/>
    <w:rsid w:val="00FD4FF1"/>
    <w:rsid w:val="00FD573B"/>
    <w:rsid w:val="00FD574A"/>
    <w:rsid w:val="00FD5779"/>
    <w:rsid w:val="00FD6E59"/>
    <w:rsid w:val="00FE043D"/>
    <w:rsid w:val="00FE0E38"/>
    <w:rsid w:val="00FE320F"/>
    <w:rsid w:val="00FE3860"/>
    <w:rsid w:val="00FE5DB7"/>
    <w:rsid w:val="00FE6D81"/>
    <w:rsid w:val="00FF1643"/>
    <w:rsid w:val="00FF54B4"/>
    <w:rsid w:val="00FF562B"/>
    <w:rsid w:val="00FF6D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3BF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46D2"/>
    <w:pPr>
      <w:spacing w:after="0" w:line="240" w:lineRule="auto"/>
    </w:pPr>
    <w:rPr>
      <w:rFonts w:ascii="Times New Roman" w:eastAsia="Times New Roman" w:hAnsi="Times New Roman" w:cs="Times New Roman"/>
      <w:sz w:val="24"/>
      <w:szCs w:val="24"/>
      <w:lang w:val="es-AR" w:eastAsia="es-ES_tradnl"/>
    </w:rPr>
  </w:style>
  <w:style w:type="paragraph" w:styleId="Ttulo1">
    <w:name w:val="heading 1"/>
    <w:basedOn w:val="Normal"/>
    <w:next w:val="Normal"/>
    <w:link w:val="Ttulo1Car"/>
    <w:uiPriority w:val="9"/>
    <w:qFormat/>
    <w:rsid w:val="0099393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993934"/>
    <w:pPr>
      <w:keepNext/>
      <w:spacing w:before="240" w:after="60"/>
      <w:outlineLvl w:val="1"/>
    </w:pPr>
    <w:rPr>
      <w:rFonts w:ascii="Cambria" w:hAnsi="Cambria"/>
      <w:b/>
      <w:bCs/>
      <w:i/>
      <w:iCs/>
      <w:sz w:val="28"/>
      <w:szCs w:val="28"/>
      <w:lang w:val="en-US" w:eastAsia="en-US"/>
    </w:rPr>
  </w:style>
  <w:style w:type="paragraph" w:styleId="Ttulo3">
    <w:name w:val="heading 3"/>
    <w:basedOn w:val="Normal"/>
    <w:next w:val="Normal"/>
    <w:link w:val="Ttulo3Car"/>
    <w:uiPriority w:val="9"/>
    <w:semiHidden/>
    <w:unhideWhenUsed/>
    <w:qFormat/>
    <w:rsid w:val="00993934"/>
    <w:pPr>
      <w:keepNext/>
      <w:spacing w:before="240" w:after="60"/>
      <w:outlineLvl w:val="2"/>
    </w:pPr>
    <w:rPr>
      <w:rFonts w:ascii="Cambria" w:hAnsi="Cambria"/>
      <w:b/>
      <w:bCs/>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5533"/>
    <w:rPr>
      <w:rFonts w:ascii="Tahoma" w:hAnsi="Tahoma" w:cs="Tahoma"/>
      <w:sz w:val="16"/>
      <w:szCs w:val="16"/>
    </w:rPr>
  </w:style>
  <w:style w:type="character" w:customStyle="1" w:styleId="TextodegloboCar">
    <w:name w:val="Texto de globo Car"/>
    <w:basedOn w:val="Fuentedeprrafopredeter"/>
    <w:link w:val="Textodeglobo"/>
    <w:uiPriority w:val="99"/>
    <w:semiHidden/>
    <w:rsid w:val="00325533"/>
    <w:rPr>
      <w:rFonts w:ascii="Tahoma" w:hAnsi="Tahoma" w:cs="Tahoma"/>
      <w:sz w:val="16"/>
      <w:szCs w:val="16"/>
    </w:rPr>
  </w:style>
  <w:style w:type="paragraph" w:styleId="Encabezado">
    <w:name w:val="header"/>
    <w:basedOn w:val="Normal"/>
    <w:link w:val="EncabezadoCar"/>
    <w:uiPriority w:val="99"/>
    <w:unhideWhenUsed/>
    <w:rsid w:val="00325533"/>
    <w:pPr>
      <w:tabs>
        <w:tab w:val="center" w:pos="4252"/>
        <w:tab w:val="right" w:pos="8504"/>
      </w:tabs>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325533"/>
  </w:style>
  <w:style w:type="paragraph" w:styleId="Piedepgina">
    <w:name w:val="footer"/>
    <w:basedOn w:val="Normal"/>
    <w:link w:val="PiedepginaCar"/>
    <w:unhideWhenUsed/>
    <w:rsid w:val="00325533"/>
    <w:pPr>
      <w:tabs>
        <w:tab w:val="center" w:pos="4252"/>
        <w:tab w:val="right" w:pos="8504"/>
      </w:tabs>
    </w:pPr>
    <w:rPr>
      <w:rFonts w:ascii="Calibri" w:eastAsia="Calibri" w:hAnsi="Calibri"/>
      <w:sz w:val="22"/>
      <w:szCs w:val="22"/>
      <w:lang w:val="es-CO" w:eastAsia="en-US"/>
    </w:rPr>
  </w:style>
  <w:style w:type="character" w:customStyle="1" w:styleId="PiedepginaCar">
    <w:name w:val="Pie de página Car"/>
    <w:basedOn w:val="Fuentedeprrafopredeter"/>
    <w:link w:val="Piedepgina"/>
    <w:rsid w:val="00325533"/>
  </w:style>
  <w:style w:type="table" w:styleId="Tablaconcuadrcula">
    <w:name w:val="Table Grid"/>
    <w:basedOn w:val="Tablanormal"/>
    <w:uiPriority w:val="59"/>
    <w:rsid w:val="00597C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456F19"/>
    <w:rPr>
      <w:color w:val="0000FF"/>
      <w:u w:val="single"/>
    </w:rPr>
  </w:style>
  <w:style w:type="paragraph" w:styleId="Sinespaciado">
    <w:name w:val="No Spacing"/>
    <w:link w:val="SinespaciadoCar"/>
    <w:uiPriority w:val="1"/>
    <w:qFormat/>
    <w:rsid w:val="00156276"/>
    <w:pPr>
      <w:spacing w:after="0" w:line="240" w:lineRule="auto"/>
    </w:pPr>
  </w:style>
  <w:style w:type="paragraph" w:styleId="Prrafodelista">
    <w:name w:val="List Paragraph"/>
    <w:aliases w:val="titulo 3"/>
    <w:basedOn w:val="Normal"/>
    <w:link w:val="PrrafodelistaCar"/>
    <w:uiPriority w:val="34"/>
    <w:qFormat/>
    <w:rsid w:val="00332A5D"/>
    <w:pPr>
      <w:spacing w:after="200" w:line="276" w:lineRule="auto"/>
      <w:ind w:left="720"/>
      <w:contextualSpacing/>
    </w:pPr>
    <w:rPr>
      <w:rFonts w:ascii="Calibri" w:eastAsia="Calibri" w:hAnsi="Calibri"/>
      <w:sz w:val="22"/>
      <w:szCs w:val="22"/>
      <w:lang w:val="es-CO" w:eastAsia="en-US"/>
    </w:rPr>
  </w:style>
  <w:style w:type="character" w:customStyle="1" w:styleId="apple-converted-space">
    <w:name w:val="apple-converted-space"/>
    <w:rsid w:val="00332A5D"/>
  </w:style>
  <w:style w:type="numbering" w:customStyle="1" w:styleId="Sinlista1">
    <w:name w:val="Sin lista1"/>
    <w:next w:val="Sinlista"/>
    <w:uiPriority w:val="99"/>
    <w:semiHidden/>
    <w:unhideWhenUsed/>
    <w:rsid w:val="008D29D4"/>
  </w:style>
  <w:style w:type="paragraph" w:styleId="NormalWeb">
    <w:name w:val="Normal (Web)"/>
    <w:basedOn w:val="Normal"/>
    <w:link w:val="NormalWebCar"/>
    <w:uiPriority w:val="99"/>
    <w:unhideWhenUsed/>
    <w:rsid w:val="00970A1B"/>
    <w:pPr>
      <w:spacing w:before="100" w:beforeAutospacing="1" w:after="100" w:afterAutospacing="1"/>
    </w:pPr>
    <w:rPr>
      <w:lang w:val="es-CO" w:eastAsia="es-CO"/>
    </w:rPr>
  </w:style>
  <w:style w:type="character" w:styleId="Refdecomentario">
    <w:name w:val="annotation reference"/>
    <w:basedOn w:val="Fuentedeprrafopredeter"/>
    <w:uiPriority w:val="99"/>
    <w:semiHidden/>
    <w:unhideWhenUsed/>
    <w:rsid w:val="00897651"/>
    <w:rPr>
      <w:sz w:val="16"/>
      <w:szCs w:val="16"/>
    </w:rPr>
  </w:style>
  <w:style w:type="paragraph" w:styleId="Textocomentario">
    <w:name w:val="annotation text"/>
    <w:basedOn w:val="Normal"/>
    <w:link w:val="TextocomentarioCar"/>
    <w:uiPriority w:val="99"/>
    <w:semiHidden/>
    <w:unhideWhenUsed/>
    <w:rsid w:val="00897651"/>
    <w:pPr>
      <w:spacing w:before="120"/>
      <w:jc w:val="both"/>
    </w:pPr>
    <w:rPr>
      <w:rFonts w:ascii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897651"/>
    <w:rPr>
      <w:sz w:val="20"/>
      <w:szCs w:val="20"/>
      <w:lang w:val="es-CO"/>
    </w:rPr>
  </w:style>
  <w:style w:type="paragraph" w:customStyle="1" w:styleId="Cuerpo">
    <w:name w:val="Cuerpo"/>
    <w:rsid w:val="0099393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CO"/>
    </w:rPr>
  </w:style>
  <w:style w:type="character" w:customStyle="1" w:styleId="Ttulo1Car">
    <w:name w:val="Título 1 Car"/>
    <w:basedOn w:val="Fuentedeprrafopredeter"/>
    <w:link w:val="Ttulo1"/>
    <w:uiPriority w:val="9"/>
    <w:rsid w:val="0099393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993934"/>
    <w:rPr>
      <w:rFonts w:ascii="Cambria" w:eastAsia="Times New Roman" w:hAnsi="Cambria" w:cs="Times New Roman"/>
      <w:b/>
      <w:bCs/>
      <w:i/>
      <w:iCs/>
      <w:sz w:val="28"/>
      <w:szCs w:val="28"/>
      <w:lang w:val="en-US"/>
    </w:rPr>
  </w:style>
  <w:style w:type="character" w:customStyle="1" w:styleId="Ttulo3Car">
    <w:name w:val="Título 3 Car"/>
    <w:basedOn w:val="Fuentedeprrafopredeter"/>
    <w:link w:val="Ttulo3"/>
    <w:uiPriority w:val="9"/>
    <w:semiHidden/>
    <w:rsid w:val="00993934"/>
    <w:rPr>
      <w:rFonts w:ascii="Cambria" w:eastAsia="Times New Roman" w:hAnsi="Cambria" w:cs="Times New Roman"/>
      <w:b/>
      <w:bCs/>
      <w:sz w:val="26"/>
      <w:szCs w:val="26"/>
      <w:lang w:val="en-U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993934"/>
    <w:rPr>
      <w:rFonts w:ascii="Calibri" w:eastAsia="Calibri" w:hAnsi="Calibri"/>
      <w:sz w:val="20"/>
      <w:szCs w:val="20"/>
      <w:lang w:val="es-ES"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993934"/>
    <w:rPr>
      <w:rFonts w:ascii="Calibri" w:eastAsia="Calibri" w:hAnsi="Calibri" w:cs="Times New Roman"/>
      <w:sz w:val="20"/>
      <w:szCs w:val="20"/>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993934"/>
    <w:rPr>
      <w:vertAlign w:val="superscript"/>
    </w:rPr>
  </w:style>
  <w:style w:type="paragraph" w:styleId="Descripcin">
    <w:name w:val="caption"/>
    <w:basedOn w:val="Normal"/>
    <w:next w:val="Normal"/>
    <w:uiPriority w:val="35"/>
    <w:unhideWhenUsed/>
    <w:qFormat/>
    <w:rsid w:val="00993934"/>
    <w:pPr>
      <w:spacing w:after="200"/>
    </w:pPr>
    <w:rPr>
      <w:rFonts w:ascii="Calibri" w:eastAsia="Calibri" w:hAnsi="Calibri"/>
      <w:i/>
      <w:iCs/>
      <w:color w:val="44546A"/>
      <w:sz w:val="18"/>
      <w:szCs w:val="18"/>
      <w:lang w:val="es-CO" w:eastAsia="en-US"/>
    </w:rPr>
  </w:style>
  <w:style w:type="paragraph" w:customStyle="1" w:styleId="Cuadrculamedia21">
    <w:name w:val="Cuadrícula media 21"/>
    <w:uiPriority w:val="1"/>
    <w:qFormat/>
    <w:rsid w:val="00993934"/>
    <w:pPr>
      <w:spacing w:after="0" w:line="240" w:lineRule="auto"/>
    </w:pPr>
    <w:rPr>
      <w:rFonts w:ascii="Calibri" w:eastAsia="Calibri" w:hAnsi="Calibri" w:cs="Times New Roman"/>
    </w:rPr>
  </w:style>
  <w:style w:type="paragraph" w:customStyle="1" w:styleId="xcuerpo">
    <w:name w:val="x_cuerpo"/>
    <w:basedOn w:val="Normal"/>
    <w:rsid w:val="00993934"/>
    <w:pPr>
      <w:spacing w:before="100" w:beforeAutospacing="1" w:after="100" w:afterAutospacing="1"/>
    </w:pPr>
    <w:rPr>
      <w:lang w:val="es-CO" w:eastAsia="es-CO"/>
    </w:rPr>
  </w:style>
  <w:style w:type="paragraph" w:customStyle="1" w:styleId="xmsonormal">
    <w:name w:val="x_msonormal"/>
    <w:basedOn w:val="Normal"/>
    <w:rsid w:val="00993934"/>
    <w:pPr>
      <w:spacing w:before="100" w:beforeAutospacing="1" w:after="100" w:afterAutospacing="1"/>
    </w:pPr>
    <w:rPr>
      <w:lang w:val="es-CO" w:eastAsia="es-CO"/>
    </w:rPr>
  </w:style>
  <w:style w:type="paragraph" w:customStyle="1" w:styleId="Body1">
    <w:name w:val="Body 1"/>
    <w:rsid w:val="0065533F"/>
    <w:pPr>
      <w:spacing w:after="0" w:line="240" w:lineRule="auto"/>
      <w:outlineLvl w:val="0"/>
    </w:pPr>
    <w:rPr>
      <w:rFonts w:ascii="Times New Roman" w:eastAsia="Arial Unicode MS" w:hAnsi="Times New Roman" w:cs="Times New Roman"/>
      <w:color w:val="000000"/>
      <w:sz w:val="24"/>
      <w:szCs w:val="20"/>
      <w:u w:color="000000"/>
      <w:lang w:eastAsia="es-ES"/>
    </w:rPr>
  </w:style>
  <w:style w:type="character" w:customStyle="1" w:styleId="PrrafodelistaCar">
    <w:name w:val="Párrafo de lista Car"/>
    <w:aliases w:val="titulo 3 Car"/>
    <w:link w:val="Prrafodelista"/>
    <w:uiPriority w:val="34"/>
    <w:locked/>
    <w:rsid w:val="00695637"/>
    <w:rPr>
      <w:rFonts w:ascii="Calibri" w:eastAsia="Calibri" w:hAnsi="Calibri" w:cs="Times New Roman"/>
      <w:lang w:val="es-CO"/>
    </w:rPr>
  </w:style>
  <w:style w:type="character" w:customStyle="1" w:styleId="baj">
    <w:name w:val="b_aj"/>
    <w:basedOn w:val="Fuentedeprrafopredeter"/>
    <w:rsid w:val="00BF6668"/>
  </w:style>
  <w:style w:type="paragraph" w:styleId="Asuntodelcomentario">
    <w:name w:val="annotation subject"/>
    <w:basedOn w:val="Textocomentario"/>
    <w:next w:val="Textocomentario"/>
    <w:link w:val="AsuntodelcomentarioCar"/>
    <w:uiPriority w:val="99"/>
    <w:semiHidden/>
    <w:unhideWhenUsed/>
    <w:rsid w:val="004502FD"/>
    <w:pPr>
      <w:spacing w:before="0" w:after="200"/>
      <w:jc w:val="left"/>
    </w:pPr>
    <w:rPr>
      <w:rFonts w:ascii="Calibri" w:eastAsia="Calibri" w:hAnsi="Calibri" w:cs="Times New Roman"/>
      <w:b/>
      <w:bCs/>
    </w:rPr>
  </w:style>
  <w:style w:type="character" w:customStyle="1" w:styleId="AsuntodelcomentarioCar">
    <w:name w:val="Asunto del comentario Car"/>
    <w:basedOn w:val="TextocomentarioCar"/>
    <w:link w:val="Asuntodelcomentario"/>
    <w:uiPriority w:val="99"/>
    <w:semiHidden/>
    <w:rsid w:val="004502FD"/>
    <w:rPr>
      <w:rFonts w:ascii="Calibri" w:eastAsia="Calibri" w:hAnsi="Calibri" w:cs="Times New Roman"/>
      <w:b/>
      <w:bCs/>
      <w:sz w:val="20"/>
      <w:szCs w:val="20"/>
      <w:lang w:val="es-CO"/>
    </w:rPr>
  </w:style>
  <w:style w:type="paragraph" w:customStyle="1" w:styleId="parrafo">
    <w:name w:val="parrafo"/>
    <w:basedOn w:val="Normal"/>
    <w:rsid w:val="00174C24"/>
    <w:pPr>
      <w:spacing w:before="100" w:beforeAutospacing="1" w:after="100" w:afterAutospacing="1"/>
    </w:pPr>
    <w:rPr>
      <w:lang w:val="es-ES"/>
    </w:rPr>
  </w:style>
  <w:style w:type="character" w:styleId="Hipervnculovisitado">
    <w:name w:val="FollowedHyperlink"/>
    <w:basedOn w:val="Fuentedeprrafopredeter"/>
    <w:uiPriority w:val="99"/>
    <w:semiHidden/>
    <w:unhideWhenUsed/>
    <w:rsid w:val="00EF13F0"/>
    <w:rPr>
      <w:color w:val="800080" w:themeColor="followedHyperlink"/>
      <w:u w:val="single"/>
    </w:rPr>
  </w:style>
  <w:style w:type="character" w:styleId="nfasis">
    <w:name w:val="Emphasis"/>
    <w:basedOn w:val="Fuentedeprrafopredeter"/>
    <w:uiPriority w:val="20"/>
    <w:qFormat/>
    <w:rsid w:val="00817F17"/>
    <w:rPr>
      <w:i/>
      <w:iCs/>
    </w:rPr>
  </w:style>
  <w:style w:type="character" w:styleId="Textoennegrita">
    <w:name w:val="Strong"/>
    <w:basedOn w:val="Fuentedeprrafopredeter"/>
    <w:uiPriority w:val="22"/>
    <w:qFormat/>
    <w:rsid w:val="00B56C2B"/>
    <w:rPr>
      <w:b/>
      <w:bCs/>
    </w:rPr>
  </w:style>
  <w:style w:type="character" w:customStyle="1" w:styleId="apple-style-span">
    <w:name w:val="apple-style-span"/>
    <w:basedOn w:val="Fuentedeprrafopredeter"/>
    <w:rsid w:val="00793F85"/>
  </w:style>
  <w:style w:type="paragraph" w:styleId="Textonotaalfinal">
    <w:name w:val="endnote text"/>
    <w:basedOn w:val="Normal"/>
    <w:link w:val="TextonotaalfinalCar"/>
    <w:uiPriority w:val="99"/>
    <w:semiHidden/>
    <w:unhideWhenUsed/>
    <w:rsid w:val="00793F85"/>
    <w:rPr>
      <w:sz w:val="20"/>
      <w:szCs w:val="20"/>
      <w:lang w:val="es-ES"/>
    </w:rPr>
  </w:style>
  <w:style w:type="character" w:customStyle="1" w:styleId="TextonotaalfinalCar">
    <w:name w:val="Texto nota al final Car"/>
    <w:basedOn w:val="Fuentedeprrafopredeter"/>
    <w:link w:val="Textonotaalfinal"/>
    <w:uiPriority w:val="99"/>
    <w:semiHidden/>
    <w:rsid w:val="00793F85"/>
    <w:rPr>
      <w:rFonts w:ascii="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sid w:val="00793F85"/>
    <w:rPr>
      <w:vertAlign w:val="superscript"/>
    </w:rPr>
  </w:style>
  <w:style w:type="paragraph" w:customStyle="1" w:styleId="yiv1513105915msolistparagraph">
    <w:name w:val="yiv1513105915msolistparagraph"/>
    <w:basedOn w:val="Normal"/>
    <w:rsid w:val="00793F85"/>
    <w:pPr>
      <w:spacing w:before="100" w:beforeAutospacing="1" w:after="100" w:afterAutospacing="1"/>
    </w:pPr>
    <w:rPr>
      <w:lang w:val="es-ES" w:eastAsia="es-CO"/>
    </w:rPr>
  </w:style>
  <w:style w:type="paragraph" w:customStyle="1" w:styleId="yiv1513105915msonormal">
    <w:name w:val="yiv1513105915msonormal"/>
    <w:basedOn w:val="Normal"/>
    <w:rsid w:val="00793F85"/>
    <w:pPr>
      <w:spacing w:before="100" w:beforeAutospacing="1" w:after="100" w:afterAutospacing="1"/>
    </w:pPr>
    <w:rPr>
      <w:lang w:val="es-ES" w:eastAsia="es-CO"/>
    </w:rPr>
  </w:style>
  <w:style w:type="paragraph" w:customStyle="1" w:styleId="ImportWordListStyleDefinition416560225">
    <w:name w:val="Import Word List Style Definition 416560225"/>
    <w:rsid w:val="00793F85"/>
    <w:pPr>
      <w:numPr>
        <w:numId w:val="11"/>
      </w:numPr>
      <w:spacing w:after="0" w:line="240" w:lineRule="auto"/>
    </w:pPr>
    <w:rPr>
      <w:rFonts w:ascii="Times New Roman" w:eastAsia="Times New Roman" w:hAnsi="Times New Roman" w:cs="Times New Roman"/>
      <w:sz w:val="20"/>
      <w:szCs w:val="20"/>
      <w:lang w:val="es-CO" w:eastAsia="es-CO"/>
    </w:rPr>
  </w:style>
  <w:style w:type="paragraph" w:styleId="Textoindependiente">
    <w:name w:val="Body Text"/>
    <w:basedOn w:val="Normal"/>
    <w:link w:val="TextoindependienteCar"/>
    <w:semiHidden/>
    <w:unhideWhenUsed/>
    <w:rsid w:val="00793F85"/>
    <w:pPr>
      <w:widowControl w:val="0"/>
      <w:suppressAutoHyphens/>
      <w:jc w:val="both"/>
    </w:pPr>
    <w:rPr>
      <w:rFonts w:ascii="Verdana" w:eastAsia="Verdana" w:hAnsi="Verdana"/>
      <w:sz w:val="20"/>
      <w:szCs w:val="20"/>
      <w:lang w:val="es-ES"/>
    </w:rPr>
  </w:style>
  <w:style w:type="character" w:customStyle="1" w:styleId="TextoindependienteCar">
    <w:name w:val="Texto independiente Car"/>
    <w:basedOn w:val="Fuentedeprrafopredeter"/>
    <w:link w:val="Textoindependiente"/>
    <w:semiHidden/>
    <w:rsid w:val="00793F85"/>
    <w:rPr>
      <w:rFonts w:ascii="Verdana" w:eastAsia="Verdana" w:hAnsi="Verdana" w:cs="Times New Roman"/>
      <w:sz w:val="20"/>
      <w:szCs w:val="20"/>
      <w:lang w:eastAsia="es-ES_tradnl"/>
    </w:rPr>
  </w:style>
  <w:style w:type="character" w:customStyle="1" w:styleId="cuerpotexto1">
    <w:name w:val="cuerpo_texto1"/>
    <w:rsid w:val="00793F85"/>
    <w:rPr>
      <w:rFonts w:ascii="Verdana" w:hAnsi="Verdana" w:hint="default"/>
      <w:color w:val="000000"/>
      <w:sz w:val="18"/>
      <w:szCs w:val="18"/>
    </w:rPr>
  </w:style>
  <w:style w:type="paragraph" w:customStyle="1" w:styleId="Default">
    <w:name w:val="Default"/>
    <w:rsid w:val="00793F85"/>
    <w:pPr>
      <w:autoSpaceDE w:val="0"/>
      <w:autoSpaceDN w:val="0"/>
      <w:adjustRightInd w:val="0"/>
      <w:spacing w:after="0" w:line="240" w:lineRule="auto"/>
    </w:pPr>
    <w:rPr>
      <w:rFonts w:ascii="Arial" w:hAnsi="Arial" w:cs="Arial"/>
      <w:color w:val="000000"/>
      <w:sz w:val="24"/>
      <w:szCs w:val="24"/>
      <w:lang w:val="es-CO"/>
    </w:r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793F85"/>
    <w:pPr>
      <w:spacing w:before="200" w:after="160" w:line="240" w:lineRule="exact"/>
    </w:pPr>
    <w:rPr>
      <w:rFonts w:asciiTheme="minorHAnsi" w:hAnsiTheme="minorHAnsi" w:cstheme="minorBidi"/>
      <w:sz w:val="22"/>
      <w:szCs w:val="22"/>
      <w:vertAlign w:val="superscript"/>
      <w:lang w:val="es-ES" w:eastAsia="en-US"/>
    </w:rPr>
  </w:style>
  <w:style w:type="paragraph" w:styleId="Lista">
    <w:name w:val="List"/>
    <w:basedOn w:val="Normal"/>
    <w:uiPriority w:val="99"/>
    <w:semiHidden/>
    <w:unhideWhenUsed/>
    <w:rsid w:val="00793F85"/>
    <w:pPr>
      <w:ind w:left="283" w:hanging="283"/>
      <w:contextualSpacing/>
    </w:pPr>
    <w:rPr>
      <w:rFonts w:ascii="Calibri" w:hAnsi="Calibri"/>
      <w:lang w:val="es-ES"/>
    </w:rPr>
  </w:style>
  <w:style w:type="character" w:customStyle="1" w:styleId="SinespaciadoCar">
    <w:name w:val="Sin espaciado Car"/>
    <w:basedOn w:val="Fuentedeprrafopredeter"/>
    <w:link w:val="Sinespaciado"/>
    <w:uiPriority w:val="1"/>
    <w:rsid w:val="00793F85"/>
  </w:style>
  <w:style w:type="character" w:customStyle="1" w:styleId="NormalWebCar">
    <w:name w:val="Normal (Web) Car"/>
    <w:link w:val="NormalWeb"/>
    <w:uiPriority w:val="99"/>
    <w:rsid w:val="00793F85"/>
    <w:rPr>
      <w:rFonts w:ascii="Times New Roman" w:eastAsia="Times New Roman" w:hAnsi="Times New Roman" w:cs="Times New Roman"/>
      <w:sz w:val="24"/>
      <w:szCs w:val="24"/>
      <w:lang w:val="es-CO" w:eastAsia="es-CO"/>
    </w:rPr>
  </w:style>
  <w:style w:type="character" w:customStyle="1" w:styleId="il">
    <w:name w:val="il"/>
    <w:basedOn w:val="Fuentedeprrafopredeter"/>
    <w:rsid w:val="00793F85"/>
  </w:style>
  <w:style w:type="paragraph" w:customStyle="1" w:styleId="s10">
    <w:name w:val="s10"/>
    <w:basedOn w:val="Normal"/>
    <w:rsid w:val="00BC121A"/>
    <w:pPr>
      <w:spacing w:before="100" w:beforeAutospacing="1" w:after="100" w:afterAutospacing="1"/>
    </w:pPr>
    <w:rPr>
      <w:lang w:val="es-CO"/>
    </w:rPr>
  </w:style>
  <w:style w:type="character" w:customStyle="1" w:styleId="s11">
    <w:name w:val="s11"/>
    <w:basedOn w:val="Fuentedeprrafopredeter"/>
    <w:rsid w:val="00BC121A"/>
  </w:style>
  <w:style w:type="paragraph" w:customStyle="1" w:styleId="s22">
    <w:name w:val="s22"/>
    <w:basedOn w:val="Normal"/>
    <w:rsid w:val="00BC121A"/>
    <w:pPr>
      <w:spacing w:before="100" w:beforeAutospacing="1" w:after="100" w:afterAutospacing="1"/>
    </w:pPr>
    <w:rPr>
      <w:lang w:val="es-CO"/>
    </w:rPr>
  </w:style>
  <w:style w:type="paragraph" w:customStyle="1" w:styleId="Piedepagina">
    <w:name w:val="Pie de pagina"/>
    <w:basedOn w:val="Normal"/>
    <w:rsid w:val="00BC121A"/>
    <w:pPr>
      <w:spacing w:after="160" w:line="240" w:lineRule="exact"/>
    </w:pPr>
    <w:rPr>
      <w:rFonts w:asciiTheme="minorHAnsi" w:hAnsiTheme="minorHAnsi" w:cstheme="minorBidi"/>
      <w:vertAlign w:val="superscript"/>
      <w:lang w:val="es-US" w:eastAsia="en-US"/>
    </w:rPr>
  </w:style>
  <w:style w:type="table" w:styleId="Tablaconcuadrcula4-nfasis5">
    <w:name w:val="Grid Table 4 Accent 5"/>
    <w:basedOn w:val="Tablanormal"/>
    <w:uiPriority w:val="49"/>
    <w:rsid w:val="00BC121A"/>
    <w:pPr>
      <w:spacing w:after="0" w:line="240" w:lineRule="auto"/>
    </w:pPr>
    <w:rPr>
      <w:sz w:val="24"/>
      <w:szCs w:val="24"/>
      <w:lang w:val="es-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grame">
    <w:name w:val="grame"/>
    <w:basedOn w:val="Fuentedeprrafopredeter"/>
    <w:rsid w:val="00731FB7"/>
  </w:style>
  <w:style w:type="paragraph" w:styleId="Subttulo">
    <w:name w:val="Subtitle"/>
    <w:basedOn w:val="Normal"/>
    <w:next w:val="Normal"/>
    <w:link w:val="SubttuloCar"/>
    <w:uiPriority w:val="11"/>
    <w:qFormat/>
    <w:rsid w:val="0059689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96897"/>
    <w:rPr>
      <w:rFonts w:eastAsiaTheme="minorEastAsia"/>
      <w:color w:val="5A5A5A" w:themeColor="text1" w:themeTint="A5"/>
      <w:spacing w:val="15"/>
      <w:lang w:val="es-A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722">
      <w:bodyDiv w:val="1"/>
      <w:marLeft w:val="0"/>
      <w:marRight w:val="0"/>
      <w:marTop w:val="0"/>
      <w:marBottom w:val="0"/>
      <w:divBdr>
        <w:top w:val="none" w:sz="0" w:space="0" w:color="auto"/>
        <w:left w:val="none" w:sz="0" w:space="0" w:color="auto"/>
        <w:bottom w:val="none" w:sz="0" w:space="0" w:color="auto"/>
        <w:right w:val="none" w:sz="0" w:space="0" w:color="auto"/>
      </w:divBdr>
    </w:div>
    <w:div w:id="28992593">
      <w:bodyDiv w:val="1"/>
      <w:marLeft w:val="0"/>
      <w:marRight w:val="0"/>
      <w:marTop w:val="0"/>
      <w:marBottom w:val="0"/>
      <w:divBdr>
        <w:top w:val="none" w:sz="0" w:space="0" w:color="auto"/>
        <w:left w:val="none" w:sz="0" w:space="0" w:color="auto"/>
        <w:bottom w:val="none" w:sz="0" w:space="0" w:color="auto"/>
        <w:right w:val="none" w:sz="0" w:space="0" w:color="auto"/>
      </w:divBdr>
    </w:div>
    <w:div w:id="43456219">
      <w:bodyDiv w:val="1"/>
      <w:marLeft w:val="0"/>
      <w:marRight w:val="0"/>
      <w:marTop w:val="0"/>
      <w:marBottom w:val="0"/>
      <w:divBdr>
        <w:top w:val="none" w:sz="0" w:space="0" w:color="auto"/>
        <w:left w:val="none" w:sz="0" w:space="0" w:color="auto"/>
        <w:bottom w:val="none" w:sz="0" w:space="0" w:color="auto"/>
        <w:right w:val="none" w:sz="0" w:space="0" w:color="auto"/>
      </w:divBdr>
    </w:div>
    <w:div w:id="58555725">
      <w:bodyDiv w:val="1"/>
      <w:marLeft w:val="0"/>
      <w:marRight w:val="0"/>
      <w:marTop w:val="0"/>
      <w:marBottom w:val="0"/>
      <w:divBdr>
        <w:top w:val="none" w:sz="0" w:space="0" w:color="auto"/>
        <w:left w:val="none" w:sz="0" w:space="0" w:color="auto"/>
        <w:bottom w:val="none" w:sz="0" w:space="0" w:color="auto"/>
        <w:right w:val="none" w:sz="0" w:space="0" w:color="auto"/>
      </w:divBdr>
    </w:div>
    <w:div w:id="87122609">
      <w:bodyDiv w:val="1"/>
      <w:marLeft w:val="0"/>
      <w:marRight w:val="0"/>
      <w:marTop w:val="0"/>
      <w:marBottom w:val="0"/>
      <w:divBdr>
        <w:top w:val="none" w:sz="0" w:space="0" w:color="auto"/>
        <w:left w:val="none" w:sz="0" w:space="0" w:color="auto"/>
        <w:bottom w:val="none" w:sz="0" w:space="0" w:color="auto"/>
        <w:right w:val="none" w:sz="0" w:space="0" w:color="auto"/>
      </w:divBdr>
    </w:div>
    <w:div w:id="101077613">
      <w:bodyDiv w:val="1"/>
      <w:marLeft w:val="0"/>
      <w:marRight w:val="0"/>
      <w:marTop w:val="0"/>
      <w:marBottom w:val="0"/>
      <w:divBdr>
        <w:top w:val="none" w:sz="0" w:space="0" w:color="auto"/>
        <w:left w:val="none" w:sz="0" w:space="0" w:color="auto"/>
        <w:bottom w:val="none" w:sz="0" w:space="0" w:color="auto"/>
        <w:right w:val="none" w:sz="0" w:space="0" w:color="auto"/>
      </w:divBdr>
    </w:div>
    <w:div w:id="124811533">
      <w:bodyDiv w:val="1"/>
      <w:marLeft w:val="0"/>
      <w:marRight w:val="0"/>
      <w:marTop w:val="0"/>
      <w:marBottom w:val="0"/>
      <w:divBdr>
        <w:top w:val="none" w:sz="0" w:space="0" w:color="auto"/>
        <w:left w:val="none" w:sz="0" w:space="0" w:color="auto"/>
        <w:bottom w:val="none" w:sz="0" w:space="0" w:color="auto"/>
        <w:right w:val="none" w:sz="0" w:space="0" w:color="auto"/>
      </w:divBdr>
    </w:div>
    <w:div w:id="135731890">
      <w:bodyDiv w:val="1"/>
      <w:marLeft w:val="0"/>
      <w:marRight w:val="0"/>
      <w:marTop w:val="0"/>
      <w:marBottom w:val="0"/>
      <w:divBdr>
        <w:top w:val="none" w:sz="0" w:space="0" w:color="auto"/>
        <w:left w:val="none" w:sz="0" w:space="0" w:color="auto"/>
        <w:bottom w:val="none" w:sz="0" w:space="0" w:color="auto"/>
        <w:right w:val="none" w:sz="0" w:space="0" w:color="auto"/>
      </w:divBdr>
    </w:div>
    <w:div w:id="161971442">
      <w:bodyDiv w:val="1"/>
      <w:marLeft w:val="0"/>
      <w:marRight w:val="0"/>
      <w:marTop w:val="0"/>
      <w:marBottom w:val="0"/>
      <w:divBdr>
        <w:top w:val="none" w:sz="0" w:space="0" w:color="auto"/>
        <w:left w:val="none" w:sz="0" w:space="0" w:color="auto"/>
        <w:bottom w:val="none" w:sz="0" w:space="0" w:color="auto"/>
        <w:right w:val="none" w:sz="0" w:space="0" w:color="auto"/>
      </w:divBdr>
    </w:div>
    <w:div w:id="165247487">
      <w:bodyDiv w:val="1"/>
      <w:marLeft w:val="0"/>
      <w:marRight w:val="0"/>
      <w:marTop w:val="0"/>
      <w:marBottom w:val="0"/>
      <w:divBdr>
        <w:top w:val="none" w:sz="0" w:space="0" w:color="auto"/>
        <w:left w:val="none" w:sz="0" w:space="0" w:color="auto"/>
        <w:bottom w:val="none" w:sz="0" w:space="0" w:color="auto"/>
        <w:right w:val="none" w:sz="0" w:space="0" w:color="auto"/>
      </w:divBdr>
    </w:div>
    <w:div w:id="172884172">
      <w:bodyDiv w:val="1"/>
      <w:marLeft w:val="0"/>
      <w:marRight w:val="0"/>
      <w:marTop w:val="0"/>
      <w:marBottom w:val="0"/>
      <w:divBdr>
        <w:top w:val="none" w:sz="0" w:space="0" w:color="auto"/>
        <w:left w:val="none" w:sz="0" w:space="0" w:color="auto"/>
        <w:bottom w:val="none" w:sz="0" w:space="0" w:color="auto"/>
        <w:right w:val="none" w:sz="0" w:space="0" w:color="auto"/>
      </w:divBdr>
    </w:div>
    <w:div w:id="186257284">
      <w:bodyDiv w:val="1"/>
      <w:marLeft w:val="0"/>
      <w:marRight w:val="0"/>
      <w:marTop w:val="0"/>
      <w:marBottom w:val="0"/>
      <w:divBdr>
        <w:top w:val="none" w:sz="0" w:space="0" w:color="auto"/>
        <w:left w:val="none" w:sz="0" w:space="0" w:color="auto"/>
        <w:bottom w:val="none" w:sz="0" w:space="0" w:color="auto"/>
        <w:right w:val="none" w:sz="0" w:space="0" w:color="auto"/>
      </w:divBdr>
    </w:div>
    <w:div w:id="186873961">
      <w:bodyDiv w:val="1"/>
      <w:marLeft w:val="0"/>
      <w:marRight w:val="0"/>
      <w:marTop w:val="0"/>
      <w:marBottom w:val="0"/>
      <w:divBdr>
        <w:top w:val="none" w:sz="0" w:space="0" w:color="auto"/>
        <w:left w:val="none" w:sz="0" w:space="0" w:color="auto"/>
        <w:bottom w:val="none" w:sz="0" w:space="0" w:color="auto"/>
        <w:right w:val="none" w:sz="0" w:space="0" w:color="auto"/>
      </w:divBdr>
    </w:div>
    <w:div w:id="209654239">
      <w:bodyDiv w:val="1"/>
      <w:marLeft w:val="0"/>
      <w:marRight w:val="0"/>
      <w:marTop w:val="0"/>
      <w:marBottom w:val="0"/>
      <w:divBdr>
        <w:top w:val="none" w:sz="0" w:space="0" w:color="auto"/>
        <w:left w:val="none" w:sz="0" w:space="0" w:color="auto"/>
        <w:bottom w:val="none" w:sz="0" w:space="0" w:color="auto"/>
        <w:right w:val="none" w:sz="0" w:space="0" w:color="auto"/>
      </w:divBdr>
    </w:div>
    <w:div w:id="211313985">
      <w:bodyDiv w:val="1"/>
      <w:marLeft w:val="0"/>
      <w:marRight w:val="0"/>
      <w:marTop w:val="0"/>
      <w:marBottom w:val="0"/>
      <w:divBdr>
        <w:top w:val="none" w:sz="0" w:space="0" w:color="auto"/>
        <w:left w:val="none" w:sz="0" w:space="0" w:color="auto"/>
        <w:bottom w:val="none" w:sz="0" w:space="0" w:color="auto"/>
        <w:right w:val="none" w:sz="0" w:space="0" w:color="auto"/>
      </w:divBdr>
    </w:div>
    <w:div w:id="248586960">
      <w:bodyDiv w:val="1"/>
      <w:marLeft w:val="0"/>
      <w:marRight w:val="0"/>
      <w:marTop w:val="0"/>
      <w:marBottom w:val="0"/>
      <w:divBdr>
        <w:top w:val="none" w:sz="0" w:space="0" w:color="auto"/>
        <w:left w:val="none" w:sz="0" w:space="0" w:color="auto"/>
        <w:bottom w:val="none" w:sz="0" w:space="0" w:color="auto"/>
        <w:right w:val="none" w:sz="0" w:space="0" w:color="auto"/>
      </w:divBdr>
    </w:div>
    <w:div w:id="288976006">
      <w:bodyDiv w:val="1"/>
      <w:marLeft w:val="0"/>
      <w:marRight w:val="0"/>
      <w:marTop w:val="0"/>
      <w:marBottom w:val="0"/>
      <w:divBdr>
        <w:top w:val="none" w:sz="0" w:space="0" w:color="auto"/>
        <w:left w:val="none" w:sz="0" w:space="0" w:color="auto"/>
        <w:bottom w:val="none" w:sz="0" w:space="0" w:color="auto"/>
        <w:right w:val="none" w:sz="0" w:space="0" w:color="auto"/>
      </w:divBdr>
    </w:div>
    <w:div w:id="321855194">
      <w:bodyDiv w:val="1"/>
      <w:marLeft w:val="0"/>
      <w:marRight w:val="0"/>
      <w:marTop w:val="0"/>
      <w:marBottom w:val="0"/>
      <w:divBdr>
        <w:top w:val="none" w:sz="0" w:space="0" w:color="auto"/>
        <w:left w:val="none" w:sz="0" w:space="0" w:color="auto"/>
        <w:bottom w:val="none" w:sz="0" w:space="0" w:color="auto"/>
        <w:right w:val="none" w:sz="0" w:space="0" w:color="auto"/>
      </w:divBdr>
    </w:div>
    <w:div w:id="375395961">
      <w:bodyDiv w:val="1"/>
      <w:marLeft w:val="0"/>
      <w:marRight w:val="0"/>
      <w:marTop w:val="0"/>
      <w:marBottom w:val="0"/>
      <w:divBdr>
        <w:top w:val="none" w:sz="0" w:space="0" w:color="auto"/>
        <w:left w:val="none" w:sz="0" w:space="0" w:color="auto"/>
        <w:bottom w:val="none" w:sz="0" w:space="0" w:color="auto"/>
        <w:right w:val="none" w:sz="0" w:space="0" w:color="auto"/>
      </w:divBdr>
    </w:div>
    <w:div w:id="427387247">
      <w:bodyDiv w:val="1"/>
      <w:marLeft w:val="0"/>
      <w:marRight w:val="0"/>
      <w:marTop w:val="0"/>
      <w:marBottom w:val="0"/>
      <w:divBdr>
        <w:top w:val="none" w:sz="0" w:space="0" w:color="auto"/>
        <w:left w:val="none" w:sz="0" w:space="0" w:color="auto"/>
        <w:bottom w:val="none" w:sz="0" w:space="0" w:color="auto"/>
        <w:right w:val="none" w:sz="0" w:space="0" w:color="auto"/>
      </w:divBdr>
    </w:div>
    <w:div w:id="433286119">
      <w:bodyDiv w:val="1"/>
      <w:marLeft w:val="0"/>
      <w:marRight w:val="0"/>
      <w:marTop w:val="0"/>
      <w:marBottom w:val="0"/>
      <w:divBdr>
        <w:top w:val="none" w:sz="0" w:space="0" w:color="auto"/>
        <w:left w:val="none" w:sz="0" w:space="0" w:color="auto"/>
        <w:bottom w:val="none" w:sz="0" w:space="0" w:color="auto"/>
        <w:right w:val="none" w:sz="0" w:space="0" w:color="auto"/>
      </w:divBdr>
    </w:div>
    <w:div w:id="434635539">
      <w:bodyDiv w:val="1"/>
      <w:marLeft w:val="0"/>
      <w:marRight w:val="0"/>
      <w:marTop w:val="0"/>
      <w:marBottom w:val="0"/>
      <w:divBdr>
        <w:top w:val="none" w:sz="0" w:space="0" w:color="auto"/>
        <w:left w:val="none" w:sz="0" w:space="0" w:color="auto"/>
        <w:bottom w:val="none" w:sz="0" w:space="0" w:color="auto"/>
        <w:right w:val="none" w:sz="0" w:space="0" w:color="auto"/>
      </w:divBdr>
    </w:div>
    <w:div w:id="442383570">
      <w:bodyDiv w:val="1"/>
      <w:marLeft w:val="0"/>
      <w:marRight w:val="0"/>
      <w:marTop w:val="0"/>
      <w:marBottom w:val="0"/>
      <w:divBdr>
        <w:top w:val="none" w:sz="0" w:space="0" w:color="auto"/>
        <w:left w:val="none" w:sz="0" w:space="0" w:color="auto"/>
        <w:bottom w:val="none" w:sz="0" w:space="0" w:color="auto"/>
        <w:right w:val="none" w:sz="0" w:space="0" w:color="auto"/>
      </w:divBdr>
    </w:div>
    <w:div w:id="469398646">
      <w:bodyDiv w:val="1"/>
      <w:marLeft w:val="0"/>
      <w:marRight w:val="0"/>
      <w:marTop w:val="0"/>
      <w:marBottom w:val="0"/>
      <w:divBdr>
        <w:top w:val="none" w:sz="0" w:space="0" w:color="auto"/>
        <w:left w:val="none" w:sz="0" w:space="0" w:color="auto"/>
        <w:bottom w:val="none" w:sz="0" w:space="0" w:color="auto"/>
        <w:right w:val="none" w:sz="0" w:space="0" w:color="auto"/>
      </w:divBdr>
    </w:div>
    <w:div w:id="471486525">
      <w:bodyDiv w:val="1"/>
      <w:marLeft w:val="0"/>
      <w:marRight w:val="0"/>
      <w:marTop w:val="0"/>
      <w:marBottom w:val="0"/>
      <w:divBdr>
        <w:top w:val="none" w:sz="0" w:space="0" w:color="auto"/>
        <w:left w:val="none" w:sz="0" w:space="0" w:color="auto"/>
        <w:bottom w:val="none" w:sz="0" w:space="0" w:color="auto"/>
        <w:right w:val="none" w:sz="0" w:space="0" w:color="auto"/>
      </w:divBdr>
    </w:div>
    <w:div w:id="494415982">
      <w:bodyDiv w:val="1"/>
      <w:marLeft w:val="0"/>
      <w:marRight w:val="0"/>
      <w:marTop w:val="0"/>
      <w:marBottom w:val="0"/>
      <w:divBdr>
        <w:top w:val="none" w:sz="0" w:space="0" w:color="auto"/>
        <w:left w:val="none" w:sz="0" w:space="0" w:color="auto"/>
        <w:bottom w:val="none" w:sz="0" w:space="0" w:color="auto"/>
        <w:right w:val="none" w:sz="0" w:space="0" w:color="auto"/>
      </w:divBdr>
    </w:div>
    <w:div w:id="525141989">
      <w:bodyDiv w:val="1"/>
      <w:marLeft w:val="0"/>
      <w:marRight w:val="0"/>
      <w:marTop w:val="0"/>
      <w:marBottom w:val="0"/>
      <w:divBdr>
        <w:top w:val="none" w:sz="0" w:space="0" w:color="auto"/>
        <w:left w:val="none" w:sz="0" w:space="0" w:color="auto"/>
        <w:bottom w:val="none" w:sz="0" w:space="0" w:color="auto"/>
        <w:right w:val="none" w:sz="0" w:space="0" w:color="auto"/>
      </w:divBdr>
    </w:div>
    <w:div w:id="543563588">
      <w:bodyDiv w:val="1"/>
      <w:marLeft w:val="0"/>
      <w:marRight w:val="0"/>
      <w:marTop w:val="0"/>
      <w:marBottom w:val="0"/>
      <w:divBdr>
        <w:top w:val="none" w:sz="0" w:space="0" w:color="auto"/>
        <w:left w:val="none" w:sz="0" w:space="0" w:color="auto"/>
        <w:bottom w:val="none" w:sz="0" w:space="0" w:color="auto"/>
        <w:right w:val="none" w:sz="0" w:space="0" w:color="auto"/>
      </w:divBdr>
    </w:div>
    <w:div w:id="547298746">
      <w:bodyDiv w:val="1"/>
      <w:marLeft w:val="0"/>
      <w:marRight w:val="0"/>
      <w:marTop w:val="0"/>
      <w:marBottom w:val="0"/>
      <w:divBdr>
        <w:top w:val="none" w:sz="0" w:space="0" w:color="auto"/>
        <w:left w:val="none" w:sz="0" w:space="0" w:color="auto"/>
        <w:bottom w:val="none" w:sz="0" w:space="0" w:color="auto"/>
        <w:right w:val="none" w:sz="0" w:space="0" w:color="auto"/>
      </w:divBdr>
    </w:div>
    <w:div w:id="568002008">
      <w:bodyDiv w:val="1"/>
      <w:marLeft w:val="0"/>
      <w:marRight w:val="0"/>
      <w:marTop w:val="0"/>
      <w:marBottom w:val="0"/>
      <w:divBdr>
        <w:top w:val="none" w:sz="0" w:space="0" w:color="auto"/>
        <w:left w:val="none" w:sz="0" w:space="0" w:color="auto"/>
        <w:bottom w:val="none" w:sz="0" w:space="0" w:color="auto"/>
        <w:right w:val="none" w:sz="0" w:space="0" w:color="auto"/>
      </w:divBdr>
    </w:div>
    <w:div w:id="618608381">
      <w:bodyDiv w:val="1"/>
      <w:marLeft w:val="0"/>
      <w:marRight w:val="0"/>
      <w:marTop w:val="0"/>
      <w:marBottom w:val="0"/>
      <w:divBdr>
        <w:top w:val="none" w:sz="0" w:space="0" w:color="auto"/>
        <w:left w:val="none" w:sz="0" w:space="0" w:color="auto"/>
        <w:bottom w:val="none" w:sz="0" w:space="0" w:color="auto"/>
        <w:right w:val="none" w:sz="0" w:space="0" w:color="auto"/>
      </w:divBdr>
    </w:div>
    <w:div w:id="619381408">
      <w:bodyDiv w:val="1"/>
      <w:marLeft w:val="0"/>
      <w:marRight w:val="0"/>
      <w:marTop w:val="0"/>
      <w:marBottom w:val="0"/>
      <w:divBdr>
        <w:top w:val="none" w:sz="0" w:space="0" w:color="auto"/>
        <w:left w:val="none" w:sz="0" w:space="0" w:color="auto"/>
        <w:bottom w:val="none" w:sz="0" w:space="0" w:color="auto"/>
        <w:right w:val="none" w:sz="0" w:space="0" w:color="auto"/>
      </w:divBdr>
    </w:div>
    <w:div w:id="630941643">
      <w:bodyDiv w:val="1"/>
      <w:marLeft w:val="0"/>
      <w:marRight w:val="0"/>
      <w:marTop w:val="0"/>
      <w:marBottom w:val="0"/>
      <w:divBdr>
        <w:top w:val="none" w:sz="0" w:space="0" w:color="auto"/>
        <w:left w:val="none" w:sz="0" w:space="0" w:color="auto"/>
        <w:bottom w:val="none" w:sz="0" w:space="0" w:color="auto"/>
        <w:right w:val="none" w:sz="0" w:space="0" w:color="auto"/>
      </w:divBdr>
    </w:div>
    <w:div w:id="639530854">
      <w:bodyDiv w:val="1"/>
      <w:marLeft w:val="0"/>
      <w:marRight w:val="0"/>
      <w:marTop w:val="0"/>
      <w:marBottom w:val="0"/>
      <w:divBdr>
        <w:top w:val="none" w:sz="0" w:space="0" w:color="auto"/>
        <w:left w:val="none" w:sz="0" w:space="0" w:color="auto"/>
        <w:bottom w:val="none" w:sz="0" w:space="0" w:color="auto"/>
        <w:right w:val="none" w:sz="0" w:space="0" w:color="auto"/>
      </w:divBdr>
    </w:div>
    <w:div w:id="653337395">
      <w:bodyDiv w:val="1"/>
      <w:marLeft w:val="0"/>
      <w:marRight w:val="0"/>
      <w:marTop w:val="0"/>
      <w:marBottom w:val="0"/>
      <w:divBdr>
        <w:top w:val="none" w:sz="0" w:space="0" w:color="auto"/>
        <w:left w:val="none" w:sz="0" w:space="0" w:color="auto"/>
        <w:bottom w:val="none" w:sz="0" w:space="0" w:color="auto"/>
        <w:right w:val="none" w:sz="0" w:space="0" w:color="auto"/>
      </w:divBdr>
    </w:div>
    <w:div w:id="666254263">
      <w:bodyDiv w:val="1"/>
      <w:marLeft w:val="0"/>
      <w:marRight w:val="0"/>
      <w:marTop w:val="0"/>
      <w:marBottom w:val="0"/>
      <w:divBdr>
        <w:top w:val="none" w:sz="0" w:space="0" w:color="auto"/>
        <w:left w:val="none" w:sz="0" w:space="0" w:color="auto"/>
        <w:bottom w:val="none" w:sz="0" w:space="0" w:color="auto"/>
        <w:right w:val="none" w:sz="0" w:space="0" w:color="auto"/>
      </w:divBdr>
    </w:div>
    <w:div w:id="669794329">
      <w:bodyDiv w:val="1"/>
      <w:marLeft w:val="0"/>
      <w:marRight w:val="0"/>
      <w:marTop w:val="0"/>
      <w:marBottom w:val="0"/>
      <w:divBdr>
        <w:top w:val="none" w:sz="0" w:space="0" w:color="auto"/>
        <w:left w:val="none" w:sz="0" w:space="0" w:color="auto"/>
        <w:bottom w:val="none" w:sz="0" w:space="0" w:color="auto"/>
        <w:right w:val="none" w:sz="0" w:space="0" w:color="auto"/>
      </w:divBdr>
    </w:div>
    <w:div w:id="672342009">
      <w:bodyDiv w:val="1"/>
      <w:marLeft w:val="0"/>
      <w:marRight w:val="0"/>
      <w:marTop w:val="0"/>
      <w:marBottom w:val="0"/>
      <w:divBdr>
        <w:top w:val="none" w:sz="0" w:space="0" w:color="auto"/>
        <w:left w:val="none" w:sz="0" w:space="0" w:color="auto"/>
        <w:bottom w:val="none" w:sz="0" w:space="0" w:color="auto"/>
        <w:right w:val="none" w:sz="0" w:space="0" w:color="auto"/>
      </w:divBdr>
    </w:div>
    <w:div w:id="679627962">
      <w:bodyDiv w:val="1"/>
      <w:marLeft w:val="0"/>
      <w:marRight w:val="0"/>
      <w:marTop w:val="0"/>
      <w:marBottom w:val="0"/>
      <w:divBdr>
        <w:top w:val="none" w:sz="0" w:space="0" w:color="auto"/>
        <w:left w:val="none" w:sz="0" w:space="0" w:color="auto"/>
        <w:bottom w:val="none" w:sz="0" w:space="0" w:color="auto"/>
        <w:right w:val="none" w:sz="0" w:space="0" w:color="auto"/>
      </w:divBdr>
    </w:div>
    <w:div w:id="746460728">
      <w:bodyDiv w:val="1"/>
      <w:marLeft w:val="0"/>
      <w:marRight w:val="0"/>
      <w:marTop w:val="0"/>
      <w:marBottom w:val="0"/>
      <w:divBdr>
        <w:top w:val="none" w:sz="0" w:space="0" w:color="auto"/>
        <w:left w:val="none" w:sz="0" w:space="0" w:color="auto"/>
        <w:bottom w:val="none" w:sz="0" w:space="0" w:color="auto"/>
        <w:right w:val="none" w:sz="0" w:space="0" w:color="auto"/>
      </w:divBdr>
    </w:div>
    <w:div w:id="764419709">
      <w:bodyDiv w:val="1"/>
      <w:marLeft w:val="0"/>
      <w:marRight w:val="0"/>
      <w:marTop w:val="0"/>
      <w:marBottom w:val="0"/>
      <w:divBdr>
        <w:top w:val="none" w:sz="0" w:space="0" w:color="auto"/>
        <w:left w:val="none" w:sz="0" w:space="0" w:color="auto"/>
        <w:bottom w:val="none" w:sz="0" w:space="0" w:color="auto"/>
        <w:right w:val="none" w:sz="0" w:space="0" w:color="auto"/>
      </w:divBdr>
    </w:div>
    <w:div w:id="817765400">
      <w:bodyDiv w:val="1"/>
      <w:marLeft w:val="0"/>
      <w:marRight w:val="0"/>
      <w:marTop w:val="0"/>
      <w:marBottom w:val="0"/>
      <w:divBdr>
        <w:top w:val="none" w:sz="0" w:space="0" w:color="auto"/>
        <w:left w:val="none" w:sz="0" w:space="0" w:color="auto"/>
        <w:bottom w:val="none" w:sz="0" w:space="0" w:color="auto"/>
        <w:right w:val="none" w:sz="0" w:space="0" w:color="auto"/>
      </w:divBdr>
    </w:div>
    <w:div w:id="820584907">
      <w:bodyDiv w:val="1"/>
      <w:marLeft w:val="0"/>
      <w:marRight w:val="0"/>
      <w:marTop w:val="0"/>
      <w:marBottom w:val="0"/>
      <w:divBdr>
        <w:top w:val="none" w:sz="0" w:space="0" w:color="auto"/>
        <w:left w:val="none" w:sz="0" w:space="0" w:color="auto"/>
        <w:bottom w:val="none" w:sz="0" w:space="0" w:color="auto"/>
        <w:right w:val="none" w:sz="0" w:space="0" w:color="auto"/>
      </w:divBdr>
    </w:div>
    <w:div w:id="858198946">
      <w:bodyDiv w:val="1"/>
      <w:marLeft w:val="0"/>
      <w:marRight w:val="0"/>
      <w:marTop w:val="0"/>
      <w:marBottom w:val="0"/>
      <w:divBdr>
        <w:top w:val="none" w:sz="0" w:space="0" w:color="auto"/>
        <w:left w:val="none" w:sz="0" w:space="0" w:color="auto"/>
        <w:bottom w:val="none" w:sz="0" w:space="0" w:color="auto"/>
        <w:right w:val="none" w:sz="0" w:space="0" w:color="auto"/>
      </w:divBdr>
    </w:div>
    <w:div w:id="900408496">
      <w:bodyDiv w:val="1"/>
      <w:marLeft w:val="0"/>
      <w:marRight w:val="0"/>
      <w:marTop w:val="0"/>
      <w:marBottom w:val="0"/>
      <w:divBdr>
        <w:top w:val="none" w:sz="0" w:space="0" w:color="auto"/>
        <w:left w:val="none" w:sz="0" w:space="0" w:color="auto"/>
        <w:bottom w:val="none" w:sz="0" w:space="0" w:color="auto"/>
        <w:right w:val="none" w:sz="0" w:space="0" w:color="auto"/>
      </w:divBdr>
    </w:div>
    <w:div w:id="925042665">
      <w:bodyDiv w:val="1"/>
      <w:marLeft w:val="0"/>
      <w:marRight w:val="0"/>
      <w:marTop w:val="0"/>
      <w:marBottom w:val="0"/>
      <w:divBdr>
        <w:top w:val="none" w:sz="0" w:space="0" w:color="auto"/>
        <w:left w:val="none" w:sz="0" w:space="0" w:color="auto"/>
        <w:bottom w:val="none" w:sz="0" w:space="0" w:color="auto"/>
        <w:right w:val="none" w:sz="0" w:space="0" w:color="auto"/>
      </w:divBdr>
    </w:div>
    <w:div w:id="944537371">
      <w:bodyDiv w:val="1"/>
      <w:marLeft w:val="0"/>
      <w:marRight w:val="0"/>
      <w:marTop w:val="0"/>
      <w:marBottom w:val="0"/>
      <w:divBdr>
        <w:top w:val="none" w:sz="0" w:space="0" w:color="auto"/>
        <w:left w:val="none" w:sz="0" w:space="0" w:color="auto"/>
        <w:bottom w:val="none" w:sz="0" w:space="0" w:color="auto"/>
        <w:right w:val="none" w:sz="0" w:space="0" w:color="auto"/>
      </w:divBdr>
    </w:div>
    <w:div w:id="959654468">
      <w:bodyDiv w:val="1"/>
      <w:marLeft w:val="0"/>
      <w:marRight w:val="0"/>
      <w:marTop w:val="0"/>
      <w:marBottom w:val="0"/>
      <w:divBdr>
        <w:top w:val="none" w:sz="0" w:space="0" w:color="auto"/>
        <w:left w:val="none" w:sz="0" w:space="0" w:color="auto"/>
        <w:bottom w:val="none" w:sz="0" w:space="0" w:color="auto"/>
        <w:right w:val="none" w:sz="0" w:space="0" w:color="auto"/>
      </w:divBdr>
    </w:div>
    <w:div w:id="961618534">
      <w:bodyDiv w:val="1"/>
      <w:marLeft w:val="0"/>
      <w:marRight w:val="0"/>
      <w:marTop w:val="0"/>
      <w:marBottom w:val="0"/>
      <w:divBdr>
        <w:top w:val="none" w:sz="0" w:space="0" w:color="auto"/>
        <w:left w:val="none" w:sz="0" w:space="0" w:color="auto"/>
        <w:bottom w:val="none" w:sz="0" w:space="0" w:color="auto"/>
        <w:right w:val="none" w:sz="0" w:space="0" w:color="auto"/>
      </w:divBdr>
    </w:div>
    <w:div w:id="975570067">
      <w:bodyDiv w:val="1"/>
      <w:marLeft w:val="0"/>
      <w:marRight w:val="0"/>
      <w:marTop w:val="0"/>
      <w:marBottom w:val="0"/>
      <w:divBdr>
        <w:top w:val="none" w:sz="0" w:space="0" w:color="auto"/>
        <w:left w:val="none" w:sz="0" w:space="0" w:color="auto"/>
        <w:bottom w:val="none" w:sz="0" w:space="0" w:color="auto"/>
        <w:right w:val="none" w:sz="0" w:space="0" w:color="auto"/>
      </w:divBdr>
    </w:div>
    <w:div w:id="1006595576">
      <w:bodyDiv w:val="1"/>
      <w:marLeft w:val="0"/>
      <w:marRight w:val="0"/>
      <w:marTop w:val="0"/>
      <w:marBottom w:val="0"/>
      <w:divBdr>
        <w:top w:val="none" w:sz="0" w:space="0" w:color="auto"/>
        <w:left w:val="none" w:sz="0" w:space="0" w:color="auto"/>
        <w:bottom w:val="none" w:sz="0" w:space="0" w:color="auto"/>
        <w:right w:val="none" w:sz="0" w:space="0" w:color="auto"/>
      </w:divBdr>
    </w:div>
    <w:div w:id="1029139681">
      <w:bodyDiv w:val="1"/>
      <w:marLeft w:val="0"/>
      <w:marRight w:val="0"/>
      <w:marTop w:val="0"/>
      <w:marBottom w:val="0"/>
      <w:divBdr>
        <w:top w:val="none" w:sz="0" w:space="0" w:color="auto"/>
        <w:left w:val="none" w:sz="0" w:space="0" w:color="auto"/>
        <w:bottom w:val="none" w:sz="0" w:space="0" w:color="auto"/>
        <w:right w:val="none" w:sz="0" w:space="0" w:color="auto"/>
      </w:divBdr>
    </w:div>
    <w:div w:id="1052923075">
      <w:bodyDiv w:val="1"/>
      <w:marLeft w:val="0"/>
      <w:marRight w:val="0"/>
      <w:marTop w:val="0"/>
      <w:marBottom w:val="0"/>
      <w:divBdr>
        <w:top w:val="none" w:sz="0" w:space="0" w:color="auto"/>
        <w:left w:val="none" w:sz="0" w:space="0" w:color="auto"/>
        <w:bottom w:val="none" w:sz="0" w:space="0" w:color="auto"/>
        <w:right w:val="none" w:sz="0" w:space="0" w:color="auto"/>
      </w:divBdr>
    </w:div>
    <w:div w:id="1110658911">
      <w:bodyDiv w:val="1"/>
      <w:marLeft w:val="0"/>
      <w:marRight w:val="0"/>
      <w:marTop w:val="0"/>
      <w:marBottom w:val="0"/>
      <w:divBdr>
        <w:top w:val="none" w:sz="0" w:space="0" w:color="auto"/>
        <w:left w:val="none" w:sz="0" w:space="0" w:color="auto"/>
        <w:bottom w:val="none" w:sz="0" w:space="0" w:color="auto"/>
        <w:right w:val="none" w:sz="0" w:space="0" w:color="auto"/>
      </w:divBdr>
    </w:div>
    <w:div w:id="1112435617">
      <w:bodyDiv w:val="1"/>
      <w:marLeft w:val="0"/>
      <w:marRight w:val="0"/>
      <w:marTop w:val="0"/>
      <w:marBottom w:val="0"/>
      <w:divBdr>
        <w:top w:val="none" w:sz="0" w:space="0" w:color="auto"/>
        <w:left w:val="none" w:sz="0" w:space="0" w:color="auto"/>
        <w:bottom w:val="none" w:sz="0" w:space="0" w:color="auto"/>
        <w:right w:val="none" w:sz="0" w:space="0" w:color="auto"/>
      </w:divBdr>
    </w:div>
    <w:div w:id="1183975281">
      <w:bodyDiv w:val="1"/>
      <w:marLeft w:val="0"/>
      <w:marRight w:val="0"/>
      <w:marTop w:val="0"/>
      <w:marBottom w:val="0"/>
      <w:divBdr>
        <w:top w:val="none" w:sz="0" w:space="0" w:color="auto"/>
        <w:left w:val="none" w:sz="0" w:space="0" w:color="auto"/>
        <w:bottom w:val="none" w:sz="0" w:space="0" w:color="auto"/>
        <w:right w:val="none" w:sz="0" w:space="0" w:color="auto"/>
      </w:divBdr>
    </w:div>
    <w:div w:id="1186408066">
      <w:bodyDiv w:val="1"/>
      <w:marLeft w:val="0"/>
      <w:marRight w:val="0"/>
      <w:marTop w:val="0"/>
      <w:marBottom w:val="0"/>
      <w:divBdr>
        <w:top w:val="none" w:sz="0" w:space="0" w:color="auto"/>
        <w:left w:val="none" w:sz="0" w:space="0" w:color="auto"/>
        <w:bottom w:val="none" w:sz="0" w:space="0" w:color="auto"/>
        <w:right w:val="none" w:sz="0" w:space="0" w:color="auto"/>
      </w:divBdr>
    </w:div>
    <w:div w:id="1200823410">
      <w:bodyDiv w:val="1"/>
      <w:marLeft w:val="0"/>
      <w:marRight w:val="0"/>
      <w:marTop w:val="0"/>
      <w:marBottom w:val="0"/>
      <w:divBdr>
        <w:top w:val="none" w:sz="0" w:space="0" w:color="auto"/>
        <w:left w:val="none" w:sz="0" w:space="0" w:color="auto"/>
        <w:bottom w:val="none" w:sz="0" w:space="0" w:color="auto"/>
        <w:right w:val="none" w:sz="0" w:space="0" w:color="auto"/>
      </w:divBdr>
    </w:div>
    <w:div w:id="1215314734">
      <w:bodyDiv w:val="1"/>
      <w:marLeft w:val="0"/>
      <w:marRight w:val="0"/>
      <w:marTop w:val="0"/>
      <w:marBottom w:val="0"/>
      <w:divBdr>
        <w:top w:val="none" w:sz="0" w:space="0" w:color="auto"/>
        <w:left w:val="none" w:sz="0" w:space="0" w:color="auto"/>
        <w:bottom w:val="none" w:sz="0" w:space="0" w:color="auto"/>
        <w:right w:val="none" w:sz="0" w:space="0" w:color="auto"/>
      </w:divBdr>
    </w:div>
    <w:div w:id="1219198968">
      <w:bodyDiv w:val="1"/>
      <w:marLeft w:val="0"/>
      <w:marRight w:val="0"/>
      <w:marTop w:val="0"/>
      <w:marBottom w:val="0"/>
      <w:divBdr>
        <w:top w:val="none" w:sz="0" w:space="0" w:color="auto"/>
        <w:left w:val="none" w:sz="0" w:space="0" w:color="auto"/>
        <w:bottom w:val="none" w:sz="0" w:space="0" w:color="auto"/>
        <w:right w:val="none" w:sz="0" w:space="0" w:color="auto"/>
      </w:divBdr>
    </w:div>
    <w:div w:id="1225681077">
      <w:bodyDiv w:val="1"/>
      <w:marLeft w:val="0"/>
      <w:marRight w:val="0"/>
      <w:marTop w:val="0"/>
      <w:marBottom w:val="0"/>
      <w:divBdr>
        <w:top w:val="none" w:sz="0" w:space="0" w:color="auto"/>
        <w:left w:val="none" w:sz="0" w:space="0" w:color="auto"/>
        <w:bottom w:val="none" w:sz="0" w:space="0" w:color="auto"/>
        <w:right w:val="none" w:sz="0" w:space="0" w:color="auto"/>
      </w:divBdr>
    </w:div>
    <w:div w:id="1226648471">
      <w:bodyDiv w:val="1"/>
      <w:marLeft w:val="0"/>
      <w:marRight w:val="0"/>
      <w:marTop w:val="0"/>
      <w:marBottom w:val="0"/>
      <w:divBdr>
        <w:top w:val="none" w:sz="0" w:space="0" w:color="auto"/>
        <w:left w:val="none" w:sz="0" w:space="0" w:color="auto"/>
        <w:bottom w:val="none" w:sz="0" w:space="0" w:color="auto"/>
        <w:right w:val="none" w:sz="0" w:space="0" w:color="auto"/>
      </w:divBdr>
    </w:div>
    <w:div w:id="1240670642">
      <w:bodyDiv w:val="1"/>
      <w:marLeft w:val="0"/>
      <w:marRight w:val="0"/>
      <w:marTop w:val="0"/>
      <w:marBottom w:val="0"/>
      <w:divBdr>
        <w:top w:val="none" w:sz="0" w:space="0" w:color="auto"/>
        <w:left w:val="none" w:sz="0" w:space="0" w:color="auto"/>
        <w:bottom w:val="none" w:sz="0" w:space="0" w:color="auto"/>
        <w:right w:val="none" w:sz="0" w:space="0" w:color="auto"/>
      </w:divBdr>
    </w:div>
    <w:div w:id="1260066566">
      <w:bodyDiv w:val="1"/>
      <w:marLeft w:val="0"/>
      <w:marRight w:val="0"/>
      <w:marTop w:val="0"/>
      <w:marBottom w:val="0"/>
      <w:divBdr>
        <w:top w:val="none" w:sz="0" w:space="0" w:color="auto"/>
        <w:left w:val="none" w:sz="0" w:space="0" w:color="auto"/>
        <w:bottom w:val="none" w:sz="0" w:space="0" w:color="auto"/>
        <w:right w:val="none" w:sz="0" w:space="0" w:color="auto"/>
      </w:divBdr>
    </w:div>
    <w:div w:id="1261529531">
      <w:bodyDiv w:val="1"/>
      <w:marLeft w:val="0"/>
      <w:marRight w:val="0"/>
      <w:marTop w:val="0"/>
      <w:marBottom w:val="0"/>
      <w:divBdr>
        <w:top w:val="none" w:sz="0" w:space="0" w:color="auto"/>
        <w:left w:val="none" w:sz="0" w:space="0" w:color="auto"/>
        <w:bottom w:val="none" w:sz="0" w:space="0" w:color="auto"/>
        <w:right w:val="none" w:sz="0" w:space="0" w:color="auto"/>
      </w:divBdr>
    </w:div>
    <w:div w:id="1270551665">
      <w:bodyDiv w:val="1"/>
      <w:marLeft w:val="0"/>
      <w:marRight w:val="0"/>
      <w:marTop w:val="0"/>
      <w:marBottom w:val="0"/>
      <w:divBdr>
        <w:top w:val="none" w:sz="0" w:space="0" w:color="auto"/>
        <w:left w:val="none" w:sz="0" w:space="0" w:color="auto"/>
        <w:bottom w:val="none" w:sz="0" w:space="0" w:color="auto"/>
        <w:right w:val="none" w:sz="0" w:space="0" w:color="auto"/>
      </w:divBdr>
    </w:div>
    <w:div w:id="1284192805">
      <w:bodyDiv w:val="1"/>
      <w:marLeft w:val="0"/>
      <w:marRight w:val="0"/>
      <w:marTop w:val="0"/>
      <w:marBottom w:val="0"/>
      <w:divBdr>
        <w:top w:val="none" w:sz="0" w:space="0" w:color="auto"/>
        <w:left w:val="none" w:sz="0" w:space="0" w:color="auto"/>
        <w:bottom w:val="none" w:sz="0" w:space="0" w:color="auto"/>
        <w:right w:val="none" w:sz="0" w:space="0" w:color="auto"/>
      </w:divBdr>
    </w:div>
    <w:div w:id="1310551855">
      <w:bodyDiv w:val="1"/>
      <w:marLeft w:val="0"/>
      <w:marRight w:val="0"/>
      <w:marTop w:val="0"/>
      <w:marBottom w:val="0"/>
      <w:divBdr>
        <w:top w:val="none" w:sz="0" w:space="0" w:color="auto"/>
        <w:left w:val="none" w:sz="0" w:space="0" w:color="auto"/>
        <w:bottom w:val="none" w:sz="0" w:space="0" w:color="auto"/>
        <w:right w:val="none" w:sz="0" w:space="0" w:color="auto"/>
      </w:divBdr>
    </w:div>
    <w:div w:id="1329408655">
      <w:bodyDiv w:val="1"/>
      <w:marLeft w:val="0"/>
      <w:marRight w:val="0"/>
      <w:marTop w:val="0"/>
      <w:marBottom w:val="0"/>
      <w:divBdr>
        <w:top w:val="none" w:sz="0" w:space="0" w:color="auto"/>
        <w:left w:val="none" w:sz="0" w:space="0" w:color="auto"/>
        <w:bottom w:val="none" w:sz="0" w:space="0" w:color="auto"/>
        <w:right w:val="none" w:sz="0" w:space="0" w:color="auto"/>
      </w:divBdr>
    </w:div>
    <w:div w:id="1353729355">
      <w:bodyDiv w:val="1"/>
      <w:marLeft w:val="0"/>
      <w:marRight w:val="0"/>
      <w:marTop w:val="0"/>
      <w:marBottom w:val="0"/>
      <w:divBdr>
        <w:top w:val="none" w:sz="0" w:space="0" w:color="auto"/>
        <w:left w:val="none" w:sz="0" w:space="0" w:color="auto"/>
        <w:bottom w:val="none" w:sz="0" w:space="0" w:color="auto"/>
        <w:right w:val="none" w:sz="0" w:space="0" w:color="auto"/>
      </w:divBdr>
    </w:div>
    <w:div w:id="1358695873">
      <w:bodyDiv w:val="1"/>
      <w:marLeft w:val="0"/>
      <w:marRight w:val="0"/>
      <w:marTop w:val="0"/>
      <w:marBottom w:val="0"/>
      <w:divBdr>
        <w:top w:val="none" w:sz="0" w:space="0" w:color="auto"/>
        <w:left w:val="none" w:sz="0" w:space="0" w:color="auto"/>
        <w:bottom w:val="none" w:sz="0" w:space="0" w:color="auto"/>
        <w:right w:val="none" w:sz="0" w:space="0" w:color="auto"/>
      </w:divBdr>
    </w:div>
    <w:div w:id="1411074777">
      <w:bodyDiv w:val="1"/>
      <w:marLeft w:val="0"/>
      <w:marRight w:val="0"/>
      <w:marTop w:val="0"/>
      <w:marBottom w:val="0"/>
      <w:divBdr>
        <w:top w:val="none" w:sz="0" w:space="0" w:color="auto"/>
        <w:left w:val="none" w:sz="0" w:space="0" w:color="auto"/>
        <w:bottom w:val="none" w:sz="0" w:space="0" w:color="auto"/>
        <w:right w:val="none" w:sz="0" w:space="0" w:color="auto"/>
      </w:divBdr>
    </w:div>
    <w:div w:id="1417749538">
      <w:bodyDiv w:val="1"/>
      <w:marLeft w:val="0"/>
      <w:marRight w:val="0"/>
      <w:marTop w:val="0"/>
      <w:marBottom w:val="0"/>
      <w:divBdr>
        <w:top w:val="none" w:sz="0" w:space="0" w:color="auto"/>
        <w:left w:val="none" w:sz="0" w:space="0" w:color="auto"/>
        <w:bottom w:val="none" w:sz="0" w:space="0" w:color="auto"/>
        <w:right w:val="none" w:sz="0" w:space="0" w:color="auto"/>
      </w:divBdr>
    </w:div>
    <w:div w:id="1418864370">
      <w:bodyDiv w:val="1"/>
      <w:marLeft w:val="0"/>
      <w:marRight w:val="0"/>
      <w:marTop w:val="0"/>
      <w:marBottom w:val="0"/>
      <w:divBdr>
        <w:top w:val="none" w:sz="0" w:space="0" w:color="auto"/>
        <w:left w:val="none" w:sz="0" w:space="0" w:color="auto"/>
        <w:bottom w:val="none" w:sz="0" w:space="0" w:color="auto"/>
        <w:right w:val="none" w:sz="0" w:space="0" w:color="auto"/>
      </w:divBdr>
      <w:divsChild>
        <w:div w:id="1206408193">
          <w:marLeft w:val="720"/>
          <w:marRight w:val="0"/>
          <w:marTop w:val="0"/>
          <w:marBottom w:val="0"/>
          <w:divBdr>
            <w:top w:val="none" w:sz="0" w:space="0" w:color="auto"/>
            <w:left w:val="none" w:sz="0" w:space="0" w:color="auto"/>
            <w:bottom w:val="none" w:sz="0" w:space="0" w:color="auto"/>
            <w:right w:val="none" w:sz="0" w:space="0" w:color="auto"/>
          </w:divBdr>
        </w:div>
      </w:divsChild>
    </w:div>
    <w:div w:id="1421021106">
      <w:bodyDiv w:val="1"/>
      <w:marLeft w:val="0"/>
      <w:marRight w:val="0"/>
      <w:marTop w:val="0"/>
      <w:marBottom w:val="0"/>
      <w:divBdr>
        <w:top w:val="none" w:sz="0" w:space="0" w:color="auto"/>
        <w:left w:val="none" w:sz="0" w:space="0" w:color="auto"/>
        <w:bottom w:val="none" w:sz="0" w:space="0" w:color="auto"/>
        <w:right w:val="none" w:sz="0" w:space="0" w:color="auto"/>
      </w:divBdr>
    </w:div>
    <w:div w:id="1422680312">
      <w:bodyDiv w:val="1"/>
      <w:marLeft w:val="0"/>
      <w:marRight w:val="0"/>
      <w:marTop w:val="0"/>
      <w:marBottom w:val="0"/>
      <w:divBdr>
        <w:top w:val="none" w:sz="0" w:space="0" w:color="auto"/>
        <w:left w:val="none" w:sz="0" w:space="0" w:color="auto"/>
        <w:bottom w:val="none" w:sz="0" w:space="0" w:color="auto"/>
        <w:right w:val="none" w:sz="0" w:space="0" w:color="auto"/>
      </w:divBdr>
    </w:div>
    <w:div w:id="1457523176">
      <w:bodyDiv w:val="1"/>
      <w:marLeft w:val="0"/>
      <w:marRight w:val="0"/>
      <w:marTop w:val="0"/>
      <w:marBottom w:val="0"/>
      <w:divBdr>
        <w:top w:val="none" w:sz="0" w:space="0" w:color="auto"/>
        <w:left w:val="none" w:sz="0" w:space="0" w:color="auto"/>
        <w:bottom w:val="none" w:sz="0" w:space="0" w:color="auto"/>
        <w:right w:val="none" w:sz="0" w:space="0" w:color="auto"/>
      </w:divBdr>
    </w:div>
    <w:div w:id="1457868710">
      <w:bodyDiv w:val="1"/>
      <w:marLeft w:val="0"/>
      <w:marRight w:val="0"/>
      <w:marTop w:val="0"/>
      <w:marBottom w:val="0"/>
      <w:divBdr>
        <w:top w:val="none" w:sz="0" w:space="0" w:color="auto"/>
        <w:left w:val="none" w:sz="0" w:space="0" w:color="auto"/>
        <w:bottom w:val="none" w:sz="0" w:space="0" w:color="auto"/>
        <w:right w:val="none" w:sz="0" w:space="0" w:color="auto"/>
      </w:divBdr>
    </w:div>
    <w:div w:id="1476919765">
      <w:bodyDiv w:val="1"/>
      <w:marLeft w:val="0"/>
      <w:marRight w:val="0"/>
      <w:marTop w:val="0"/>
      <w:marBottom w:val="0"/>
      <w:divBdr>
        <w:top w:val="none" w:sz="0" w:space="0" w:color="auto"/>
        <w:left w:val="none" w:sz="0" w:space="0" w:color="auto"/>
        <w:bottom w:val="none" w:sz="0" w:space="0" w:color="auto"/>
        <w:right w:val="none" w:sz="0" w:space="0" w:color="auto"/>
      </w:divBdr>
    </w:div>
    <w:div w:id="1489861692">
      <w:bodyDiv w:val="1"/>
      <w:marLeft w:val="0"/>
      <w:marRight w:val="0"/>
      <w:marTop w:val="0"/>
      <w:marBottom w:val="0"/>
      <w:divBdr>
        <w:top w:val="none" w:sz="0" w:space="0" w:color="auto"/>
        <w:left w:val="none" w:sz="0" w:space="0" w:color="auto"/>
        <w:bottom w:val="none" w:sz="0" w:space="0" w:color="auto"/>
        <w:right w:val="none" w:sz="0" w:space="0" w:color="auto"/>
      </w:divBdr>
    </w:div>
    <w:div w:id="1506166196">
      <w:bodyDiv w:val="1"/>
      <w:marLeft w:val="0"/>
      <w:marRight w:val="0"/>
      <w:marTop w:val="0"/>
      <w:marBottom w:val="0"/>
      <w:divBdr>
        <w:top w:val="none" w:sz="0" w:space="0" w:color="auto"/>
        <w:left w:val="none" w:sz="0" w:space="0" w:color="auto"/>
        <w:bottom w:val="none" w:sz="0" w:space="0" w:color="auto"/>
        <w:right w:val="none" w:sz="0" w:space="0" w:color="auto"/>
      </w:divBdr>
    </w:div>
    <w:div w:id="1510942660">
      <w:bodyDiv w:val="1"/>
      <w:marLeft w:val="0"/>
      <w:marRight w:val="0"/>
      <w:marTop w:val="0"/>
      <w:marBottom w:val="0"/>
      <w:divBdr>
        <w:top w:val="none" w:sz="0" w:space="0" w:color="auto"/>
        <w:left w:val="none" w:sz="0" w:space="0" w:color="auto"/>
        <w:bottom w:val="none" w:sz="0" w:space="0" w:color="auto"/>
        <w:right w:val="none" w:sz="0" w:space="0" w:color="auto"/>
      </w:divBdr>
    </w:div>
    <w:div w:id="1515916171">
      <w:bodyDiv w:val="1"/>
      <w:marLeft w:val="0"/>
      <w:marRight w:val="0"/>
      <w:marTop w:val="0"/>
      <w:marBottom w:val="0"/>
      <w:divBdr>
        <w:top w:val="none" w:sz="0" w:space="0" w:color="auto"/>
        <w:left w:val="none" w:sz="0" w:space="0" w:color="auto"/>
        <w:bottom w:val="none" w:sz="0" w:space="0" w:color="auto"/>
        <w:right w:val="none" w:sz="0" w:space="0" w:color="auto"/>
      </w:divBdr>
    </w:div>
    <w:div w:id="1519149980">
      <w:bodyDiv w:val="1"/>
      <w:marLeft w:val="0"/>
      <w:marRight w:val="0"/>
      <w:marTop w:val="0"/>
      <w:marBottom w:val="0"/>
      <w:divBdr>
        <w:top w:val="none" w:sz="0" w:space="0" w:color="auto"/>
        <w:left w:val="none" w:sz="0" w:space="0" w:color="auto"/>
        <w:bottom w:val="none" w:sz="0" w:space="0" w:color="auto"/>
        <w:right w:val="none" w:sz="0" w:space="0" w:color="auto"/>
      </w:divBdr>
    </w:div>
    <w:div w:id="1526139974">
      <w:bodyDiv w:val="1"/>
      <w:marLeft w:val="0"/>
      <w:marRight w:val="0"/>
      <w:marTop w:val="0"/>
      <w:marBottom w:val="0"/>
      <w:divBdr>
        <w:top w:val="none" w:sz="0" w:space="0" w:color="auto"/>
        <w:left w:val="none" w:sz="0" w:space="0" w:color="auto"/>
        <w:bottom w:val="none" w:sz="0" w:space="0" w:color="auto"/>
        <w:right w:val="none" w:sz="0" w:space="0" w:color="auto"/>
      </w:divBdr>
    </w:div>
    <w:div w:id="1538615858">
      <w:bodyDiv w:val="1"/>
      <w:marLeft w:val="0"/>
      <w:marRight w:val="0"/>
      <w:marTop w:val="0"/>
      <w:marBottom w:val="0"/>
      <w:divBdr>
        <w:top w:val="none" w:sz="0" w:space="0" w:color="auto"/>
        <w:left w:val="none" w:sz="0" w:space="0" w:color="auto"/>
        <w:bottom w:val="none" w:sz="0" w:space="0" w:color="auto"/>
        <w:right w:val="none" w:sz="0" w:space="0" w:color="auto"/>
      </w:divBdr>
    </w:div>
    <w:div w:id="1634021734">
      <w:bodyDiv w:val="1"/>
      <w:marLeft w:val="0"/>
      <w:marRight w:val="0"/>
      <w:marTop w:val="0"/>
      <w:marBottom w:val="0"/>
      <w:divBdr>
        <w:top w:val="none" w:sz="0" w:space="0" w:color="auto"/>
        <w:left w:val="none" w:sz="0" w:space="0" w:color="auto"/>
        <w:bottom w:val="none" w:sz="0" w:space="0" w:color="auto"/>
        <w:right w:val="none" w:sz="0" w:space="0" w:color="auto"/>
      </w:divBdr>
    </w:div>
    <w:div w:id="1651401369">
      <w:bodyDiv w:val="1"/>
      <w:marLeft w:val="0"/>
      <w:marRight w:val="0"/>
      <w:marTop w:val="0"/>
      <w:marBottom w:val="0"/>
      <w:divBdr>
        <w:top w:val="none" w:sz="0" w:space="0" w:color="auto"/>
        <w:left w:val="none" w:sz="0" w:space="0" w:color="auto"/>
        <w:bottom w:val="none" w:sz="0" w:space="0" w:color="auto"/>
        <w:right w:val="none" w:sz="0" w:space="0" w:color="auto"/>
      </w:divBdr>
    </w:div>
    <w:div w:id="1653215030">
      <w:bodyDiv w:val="1"/>
      <w:marLeft w:val="0"/>
      <w:marRight w:val="0"/>
      <w:marTop w:val="0"/>
      <w:marBottom w:val="0"/>
      <w:divBdr>
        <w:top w:val="none" w:sz="0" w:space="0" w:color="auto"/>
        <w:left w:val="none" w:sz="0" w:space="0" w:color="auto"/>
        <w:bottom w:val="none" w:sz="0" w:space="0" w:color="auto"/>
        <w:right w:val="none" w:sz="0" w:space="0" w:color="auto"/>
      </w:divBdr>
    </w:div>
    <w:div w:id="1654528410">
      <w:bodyDiv w:val="1"/>
      <w:marLeft w:val="0"/>
      <w:marRight w:val="0"/>
      <w:marTop w:val="0"/>
      <w:marBottom w:val="0"/>
      <w:divBdr>
        <w:top w:val="none" w:sz="0" w:space="0" w:color="auto"/>
        <w:left w:val="none" w:sz="0" w:space="0" w:color="auto"/>
        <w:bottom w:val="none" w:sz="0" w:space="0" w:color="auto"/>
        <w:right w:val="none" w:sz="0" w:space="0" w:color="auto"/>
      </w:divBdr>
    </w:div>
    <w:div w:id="1716391540">
      <w:bodyDiv w:val="1"/>
      <w:marLeft w:val="0"/>
      <w:marRight w:val="0"/>
      <w:marTop w:val="0"/>
      <w:marBottom w:val="0"/>
      <w:divBdr>
        <w:top w:val="none" w:sz="0" w:space="0" w:color="auto"/>
        <w:left w:val="none" w:sz="0" w:space="0" w:color="auto"/>
        <w:bottom w:val="none" w:sz="0" w:space="0" w:color="auto"/>
        <w:right w:val="none" w:sz="0" w:space="0" w:color="auto"/>
      </w:divBdr>
    </w:div>
    <w:div w:id="1720082344">
      <w:bodyDiv w:val="1"/>
      <w:marLeft w:val="0"/>
      <w:marRight w:val="0"/>
      <w:marTop w:val="0"/>
      <w:marBottom w:val="0"/>
      <w:divBdr>
        <w:top w:val="none" w:sz="0" w:space="0" w:color="auto"/>
        <w:left w:val="none" w:sz="0" w:space="0" w:color="auto"/>
        <w:bottom w:val="none" w:sz="0" w:space="0" w:color="auto"/>
        <w:right w:val="none" w:sz="0" w:space="0" w:color="auto"/>
      </w:divBdr>
    </w:div>
    <w:div w:id="1730376426">
      <w:bodyDiv w:val="1"/>
      <w:marLeft w:val="0"/>
      <w:marRight w:val="0"/>
      <w:marTop w:val="0"/>
      <w:marBottom w:val="0"/>
      <w:divBdr>
        <w:top w:val="none" w:sz="0" w:space="0" w:color="auto"/>
        <w:left w:val="none" w:sz="0" w:space="0" w:color="auto"/>
        <w:bottom w:val="none" w:sz="0" w:space="0" w:color="auto"/>
        <w:right w:val="none" w:sz="0" w:space="0" w:color="auto"/>
      </w:divBdr>
    </w:div>
    <w:div w:id="1734620650">
      <w:bodyDiv w:val="1"/>
      <w:marLeft w:val="0"/>
      <w:marRight w:val="0"/>
      <w:marTop w:val="0"/>
      <w:marBottom w:val="0"/>
      <w:divBdr>
        <w:top w:val="none" w:sz="0" w:space="0" w:color="auto"/>
        <w:left w:val="none" w:sz="0" w:space="0" w:color="auto"/>
        <w:bottom w:val="none" w:sz="0" w:space="0" w:color="auto"/>
        <w:right w:val="none" w:sz="0" w:space="0" w:color="auto"/>
      </w:divBdr>
    </w:div>
    <w:div w:id="1741125964">
      <w:bodyDiv w:val="1"/>
      <w:marLeft w:val="0"/>
      <w:marRight w:val="0"/>
      <w:marTop w:val="0"/>
      <w:marBottom w:val="0"/>
      <w:divBdr>
        <w:top w:val="none" w:sz="0" w:space="0" w:color="auto"/>
        <w:left w:val="none" w:sz="0" w:space="0" w:color="auto"/>
        <w:bottom w:val="none" w:sz="0" w:space="0" w:color="auto"/>
        <w:right w:val="none" w:sz="0" w:space="0" w:color="auto"/>
      </w:divBdr>
    </w:div>
    <w:div w:id="1741634781">
      <w:bodyDiv w:val="1"/>
      <w:marLeft w:val="0"/>
      <w:marRight w:val="0"/>
      <w:marTop w:val="0"/>
      <w:marBottom w:val="0"/>
      <w:divBdr>
        <w:top w:val="none" w:sz="0" w:space="0" w:color="auto"/>
        <w:left w:val="none" w:sz="0" w:space="0" w:color="auto"/>
        <w:bottom w:val="none" w:sz="0" w:space="0" w:color="auto"/>
        <w:right w:val="none" w:sz="0" w:space="0" w:color="auto"/>
      </w:divBdr>
    </w:div>
    <w:div w:id="1745879204">
      <w:bodyDiv w:val="1"/>
      <w:marLeft w:val="0"/>
      <w:marRight w:val="0"/>
      <w:marTop w:val="0"/>
      <w:marBottom w:val="0"/>
      <w:divBdr>
        <w:top w:val="none" w:sz="0" w:space="0" w:color="auto"/>
        <w:left w:val="none" w:sz="0" w:space="0" w:color="auto"/>
        <w:bottom w:val="none" w:sz="0" w:space="0" w:color="auto"/>
        <w:right w:val="none" w:sz="0" w:space="0" w:color="auto"/>
      </w:divBdr>
    </w:div>
    <w:div w:id="1749963614">
      <w:bodyDiv w:val="1"/>
      <w:marLeft w:val="0"/>
      <w:marRight w:val="0"/>
      <w:marTop w:val="0"/>
      <w:marBottom w:val="0"/>
      <w:divBdr>
        <w:top w:val="none" w:sz="0" w:space="0" w:color="auto"/>
        <w:left w:val="none" w:sz="0" w:space="0" w:color="auto"/>
        <w:bottom w:val="none" w:sz="0" w:space="0" w:color="auto"/>
        <w:right w:val="none" w:sz="0" w:space="0" w:color="auto"/>
      </w:divBdr>
    </w:div>
    <w:div w:id="1750038027">
      <w:bodyDiv w:val="1"/>
      <w:marLeft w:val="0"/>
      <w:marRight w:val="0"/>
      <w:marTop w:val="0"/>
      <w:marBottom w:val="0"/>
      <w:divBdr>
        <w:top w:val="none" w:sz="0" w:space="0" w:color="auto"/>
        <w:left w:val="none" w:sz="0" w:space="0" w:color="auto"/>
        <w:bottom w:val="none" w:sz="0" w:space="0" w:color="auto"/>
        <w:right w:val="none" w:sz="0" w:space="0" w:color="auto"/>
      </w:divBdr>
    </w:div>
    <w:div w:id="1768430516">
      <w:bodyDiv w:val="1"/>
      <w:marLeft w:val="0"/>
      <w:marRight w:val="0"/>
      <w:marTop w:val="0"/>
      <w:marBottom w:val="0"/>
      <w:divBdr>
        <w:top w:val="none" w:sz="0" w:space="0" w:color="auto"/>
        <w:left w:val="none" w:sz="0" w:space="0" w:color="auto"/>
        <w:bottom w:val="none" w:sz="0" w:space="0" w:color="auto"/>
        <w:right w:val="none" w:sz="0" w:space="0" w:color="auto"/>
      </w:divBdr>
    </w:div>
    <w:div w:id="1792632758">
      <w:bodyDiv w:val="1"/>
      <w:marLeft w:val="0"/>
      <w:marRight w:val="0"/>
      <w:marTop w:val="0"/>
      <w:marBottom w:val="0"/>
      <w:divBdr>
        <w:top w:val="none" w:sz="0" w:space="0" w:color="auto"/>
        <w:left w:val="none" w:sz="0" w:space="0" w:color="auto"/>
        <w:bottom w:val="none" w:sz="0" w:space="0" w:color="auto"/>
        <w:right w:val="none" w:sz="0" w:space="0" w:color="auto"/>
      </w:divBdr>
    </w:div>
    <w:div w:id="1817648795">
      <w:bodyDiv w:val="1"/>
      <w:marLeft w:val="0"/>
      <w:marRight w:val="0"/>
      <w:marTop w:val="0"/>
      <w:marBottom w:val="0"/>
      <w:divBdr>
        <w:top w:val="none" w:sz="0" w:space="0" w:color="auto"/>
        <w:left w:val="none" w:sz="0" w:space="0" w:color="auto"/>
        <w:bottom w:val="none" w:sz="0" w:space="0" w:color="auto"/>
        <w:right w:val="none" w:sz="0" w:space="0" w:color="auto"/>
      </w:divBdr>
    </w:div>
    <w:div w:id="1912082275">
      <w:bodyDiv w:val="1"/>
      <w:marLeft w:val="0"/>
      <w:marRight w:val="0"/>
      <w:marTop w:val="0"/>
      <w:marBottom w:val="0"/>
      <w:divBdr>
        <w:top w:val="none" w:sz="0" w:space="0" w:color="auto"/>
        <w:left w:val="none" w:sz="0" w:space="0" w:color="auto"/>
        <w:bottom w:val="none" w:sz="0" w:space="0" w:color="auto"/>
        <w:right w:val="none" w:sz="0" w:space="0" w:color="auto"/>
      </w:divBdr>
    </w:div>
    <w:div w:id="1917662609">
      <w:bodyDiv w:val="1"/>
      <w:marLeft w:val="0"/>
      <w:marRight w:val="0"/>
      <w:marTop w:val="0"/>
      <w:marBottom w:val="0"/>
      <w:divBdr>
        <w:top w:val="none" w:sz="0" w:space="0" w:color="auto"/>
        <w:left w:val="none" w:sz="0" w:space="0" w:color="auto"/>
        <w:bottom w:val="none" w:sz="0" w:space="0" w:color="auto"/>
        <w:right w:val="none" w:sz="0" w:space="0" w:color="auto"/>
      </w:divBdr>
    </w:div>
    <w:div w:id="1928803175">
      <w:bodyDiv w:val="1"/>
      <w:marLeft w:val="0"/>
      <w:marRight w:val="0"/>
      <w:marTop w:val="0"/>
      <w:marBottom w:val="0"/>
      <w:divBdr>
        <w:top w:val="none" w:sz="0" w:space="0" w:color="auto"/>
        <w:left w:val="none" w:sz="0" w:space="0" w:color="auto"/>
        <w:bottom w:val="none" w:sz="0" w:space="0" w:color="auto"/>
        <w:right w:val="none" w:sz="0" w:space="0" w:color="auto"/>
      </w:divBdr>
    </w:div>
    <w:div w:id="1931574519">
      <w:bodyDiv w:val="1"/>
      <w:marLeft w:val="0"/>
      <w:marRight w:val="0"/>
      <w:marTop w:val="0"/>
      <w:marBottom w:val="0"/>
      <w:divBdr>
        <w:top w:val="none" w:sz="0" w:space="0" w:color="auto"/>
        <w:left w:val="none" w:sz="0" w:space="0" w:color="auto"/>
        <w:bottom w:val="none" w:sz="0" w:space="0" w:color="auto"/>
        <w:right w:val="none" w:sz="0" w:space="0" w:color="auto"/>
      </w:divBdr>
    </w:div>
    <w:div w:id="1937900789">
      <w:bodyDiv w:val="1"/>
      <w:marLeft w:val="0"/>
      <w:marRight w:val="0"/>
      <w:marTop w:val="0"/>
      <w:marBottom w:val="0"/>
      <w:divBdr>
        <w:top w:val="none" w:sz="0" w:space="0" w:color="auto"/>
        <w:left w:val="none" w:sz="0" w:space="0" w:color="auto"/>
        <w:bottom w:val="none" w:sz="0" w:space="0" w:color="auto"/>
        <w:right w:val="none" w:sz="0" w:space="0" w:color="auto"/>
      </w:divBdr>
    </w:div>
    <w:div w:id="1952711005">
      <w:bodyDiv w:val="1"/>
      <w:marLeft w:val="0"/>
      <w:marRight w:val="0"/>
      <w:marTop w:val="0"/>
      <w:marBottom w:val="0"/>
      <w:divBdr>
        <w:top w:val="none" w:sz="0" w:space="0" w:color="auto"/>
        <w:left w:val="none" w:sz="0" w:space="0" w:color="auto"/>
        <w:bottom w:val="none" w:sz="0" w:space="0" w:color="auto"/>
        <w:right w:val="none" w:sz="0" w:space="0" w:color="auto"/>
      </w:divBdr>
    </w:div>
    <w:div w:id="1971936996">
      <w:bodyDiv w:val="1"/>
      <w:marLeft w:val="0"/>
      <w:marRight w:val="0"/>
      <w:marTop w:val="0"/>
      <w:marBottom w:val="0"/>
      <w:divBdr>
        <w:top w:val="none" w:sz="0" w:space="0" w:color="auto"/>
        <w:left w:val="none" w:sz="0" w:space="0" w:color="auto"/>
        <w:bottom w:val="none" w:sz="0" w:space="0" w:color="auto"/>
        <w:right w:val="none" w:sz="0" w:space="0" w:color="auto"/>
      </w:divBdr>
    </w:div>
    <w:div w:id="1989699738">
      <w:bodyDiv w:val="1"/>
      <w:marLeft w:val="0"/>
      <w:marRight w:val="0"/>
      <w:marTop w:val="0"/>
      <w:marBottom w:val="0"/>
      <w:divBdr>
        <w:top w:val="none" w:sz="0" w:space="0" w:color="auto"/>
        <w:left w:val="none" w:sz="0" w:space="0" w:color="auto"/>
        <w:bottom w:val="none" w:sz="0" w:space="0" w:color="auto"/>
        <w:right w:val="none" w:sz="0" w:space="0" w:color="auto"/>
      </w:divBdr>
    </w:div>
    <w:div w:id="1992519556">
      <w:bodyDiv w:val="1"/>
      <w:marLeft w:val="0"/>
      <w:marRight w:val="0"/>
      <w:marTop w:val="0"/>
      <w:marBottom w:val="0"/>
      <w:divBdr>
        <w:top w:val="none" w:sz="0" w:space="0" w:color="auto"/>
        <w:left w:val="none" w:sz="0" w:space="0" w:color="auto"/>
        <w:bottom w:val="none" w:sz="0" w:space="0" w:color="auto"/>
        <w:right w:val="none" w:sz="0" w:space="0" w:color="auto"/>
      </w:divBdr>
    </w:div>
    <w:div w:id="1994749083">
      <w:bodyDiv w:val="1"/>
      <w:marLeft w:val="0"/>
      <w:marRight w:val="0"/>
      <w:marTop w:val="0"/>
      <w:marBottom w:val="0"/>
      <w:divBdr>
        <w:top w:val="none" w:sz="0" w:space="0" w:color="auto"/>
        <w:left w:val="none" w:sz="0" w:space="0" w:color="auto"/>
        <w:bottom w:val="none" w:sz="0" w:space="0" w:color="auto"/>
        <w:right w:val="none" w:sz="0" w:space="0" w:color="auto"/>
      </w:divBdr>
    </w:div>
    <w:div w:id="2003703885">
      <w:bodyDiv w:val="1"/>
      <w:marLeft w:val="0"/>
      <w:marRight w:val="0"/>
      <w:marTop w:val="0"/>
      <w:marBottom w:val="0"/>
      <w:divBdr>
        <w:top w:val="none" w:sz="0" w:space="0" w:color="auto"/>
        <w:left w:val="none" w:sz="0" w:space="0" w:color="auto"/>
        <w:bottom w:val="none" w:sz="0" w:space="0" w:color="auto"/>
        <w:right w:val="none" w:sz="0" w:space="0" w:color="auto"/>
      </w:divBdr>
    </w:div>
    <w:div w:id="2010325689">
      <w:bodyDiv w:val="1"/>
      <w:marLeft w:val="0"/>
      <w:marRight w:val="0"/>
      <w:marTop w:val="0"/>
      <w:marBottom w:val="0"/>
      <w:divBdr>
        <w:top w:val="none" w:sz="0" w:space="0" w:color="auto"/>
        <w:left w:val="none" w:sz="0" w:space="0" w:color="auto"/>
        <w:bottom w:val="none" w:sz="0" w:space="0" w:color="auto"/>
        <w:right w:val="none" w:sz="0" w:space="0" w:color="auto"/>
      </w:divBdr>
    </w:div>
    <w:div w:id="2027712042">
      <w:bodyDiv w:val="1"/>
      <w:marLeft w:val="0"/>
      <w:marRight w:val="0"/>
      <w:marTop w:val="0"/>
      <w:marBottom w:val="0"/>
      <w:divBdr>
        <w:top w:val="none" w:sz="0" w:space="0" w:color="auto"/>
        <w:left w:val="none" w:sz="0" w:space="0" w:color="auto"/>
        <w:bottom w:val="none" w:sz="0" w:space="0" w:color="auto"/>
        <w:right w:val="none" w:sz="0" w:space="0" w:color="auto"/>
      </w:divBdr>
      <w:divsChild>
        <w:div w:id="202855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90632">
              <w:marLeft w:val="0"/>
              <w:marRight w:val="0"/>
              <w:marTop w:val="0"/>
              <w:marBottom w:val="0"/>
              <w:divBdr>
                <w:top w:val="none" w:sz="0" w:space="0" w:color="auto"/>
                <w:left w:val="none" w:sz="0" w:space="0" w:color="auto"/>
                <w:bottom w:val="none" w:sz="0" w:space="0" w:color="auto"/>
                <w:right w:val="none" w:sz="0" w:space="0" w:color="auto"/>
              </w:divBdr>
              <w:divsChild>
                <w:div w:id="680010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6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37917">
      <w:bodyDiv w:val="1"/>
      <w:marLeft w:val="0"/>
      <w:marRight w:val="0"/>
      <w:marTop w:val="0"/>
      <w:marBottom w:val="0"/>
      <w:divBdr>
        <w:top w:val="none" w:sz="0" w:space="0" w:color="auto"/>
        <w:left w:val="none" w:sz="0" w:space="0" w:color="auto"/>
        <w:bottom w:val="none" w:sz="0" w:space="0" w:color="auto"/>
        <w:right w:val="none" w:sz="0" w:space="0" w:color="auto"/>
      </w:divBdr>
    </w:div>
    <w:div w:id="2098013094">
      <w:bodyDiv w:val="1"/>
      <w:marLeft w:val="0"/>
      <w:marRight w:val="0"/>
      <w:marTop w:val="0"/>
      <w:marBottom w:val="0"/>
      <w:divBdr>
        <w:top w:val="none" w:sz="0" w:space="0" w:color="auto"/>
        <w:left w:val="none" w:sz="0" w:space="0" w:color="auto"/>
        <w:bottom w:val="none" w:sz="0" w:space="0" w:color="auto"/>
        <w:right w:val="none" w:sz="0" w:space="0" w:color="auto"/>
      </w:divBdr>
    </w:div>
    <w:div w:id="213505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www.medicinalegal.gov.co/observatorio-de-violencia"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medicinalegal.gov.co/cifras-de-lesiones-de-causa-externa" TargetMode="External"/><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medicinalegal.gov.co/observatorio-de-violencia"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www.medicinalegal.gov.co/documents/20143/386932/Forensis+2018.pdf/be4816a4-3da3-1ff0-2779-e7b5e3962d60?version=1.1" TargetMode="External"/><Relationship Id="rId1" Type="http://schemas.openxmlformats.org/officeDocument/2006/relationships/hyperlink" Target="https://www.unicef.org/protection/files/Evidence_Review_SEA_(Radford_et_al)(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20162262909767E-2"/>
          <c:y val="0.14352350197344815"/>
          <c:w val="0.9517596754741805"/>
          <c:h val="0.6686285312290754"/>
        </c:manualLayout>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formatCode="mmm\-yy">
                  <c:v>43922</c:v>
                </c:pt>
              </c:numCache>
            </c:numRef>
          </c:cat>
          <c:val>
            <c:numRef>
              <c:f>Hoja1!$B$2:$B$13</c:f>
              <c:numCache>
                <c:formatCode>General</c:formatCode>
                <c:ptCount val="12"/>
                <c:pt idx="0">
                  <c:v>1628</c:v>
                </c:pt>
                <c:pt idx="1">
                  <c:v>1764</c:v>
                </c:pt>
                <c:pt idx="2">
                  <c:v>2105</c:v>
                </c:pt>
                <c:pt idx="3">
                  <c:v>1979</c:v>
                </c:pt>
                <c:pt idx="4">
                  <c:v>2550</c:v>
                </c:pt>
                <c:pt idx="5">
                  <c:v>2023</c:v>
                </c:pt>
                <c:pt idx="6">
                  <c:v>2776</c:v>
                </c:pt>
                <c:pt idx="7">
                  <c:v>2429</c:v>
                </c:pt>
                <c:pt idx="8">
                  <c:v>2602</c:v>
                </c:pt>
                <c:pt idx="9">
                  <c:v>3068</c:v>
                </c:pt>
                <c:pt idx="10">
                  <c:v>2624</c:v>
                </c:pt>
                <c:pt idx="11">
                  <c:v>227</c:v>
                </c:pt>
              </c:numCache>
            </c:numRef>
          </c:val>
          <c:extLst>
            <c:ext xmlns:c16="http://schemas.microsoft.com/office/drawing/2014/chart" uri="{C3380CC4-5D6E-409C-BE32-E72D297353CC}">
              <c16:uniqueId val="{00000000-C50D-C240-B957-EF223965A276}"/>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General"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NO REINCIDENTES</c:v>
                </c:pt>
                <c:pt idx="1">
                  <c:v>REINCIDENTES</c:v>
                </c:pt>
              </c:strCache>
            </c:strRef>
          </c:cat>
          <c:val>
            <c:numRef>
              <c:f>Hoja1!$B$2:$B$3</c:f>
              <c:numCache>
                <c:formatCode>General</c:formatCode>
                <c:ptCount val="2"/>
                <c:pt idx="0">
                  <c:v>25775</c:v>
                </c:pt>
                <c:pt idx="1">
                  <c:v>1695</c:v>
                </c:pt>
              </c:numCache>
            </c:numRef>
          </c:val>
          <c:extLst>
            <c:ext xmlns:c16="http://schemas.microsoft.com/office/drawing/2014/chart" uri="{C3380CC4-5D6E-409C-BE32-E72D297353CC}">
              <c16:uniqueId val="{00000000-AFDF-264A-88E4-5BD3E3CDE1EB}"/>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General"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190476190476191E-2"/>
          <c:y val="9.6916299559471369E-2"/>
          <c:w val="0.94761904761904758"/>
          <c:h val="0.60306913177703003"/>
        </c:manualLayout>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TOTAL PPL REINCIDENTES POR DELITOS SEXUALES CONTRA MENORES</c:v>
                </c:pt>
                <c:pt idx="1">
                  <c:v>TOTAL PPL REINCIDENTE</c:v>
                </c:pt>
              </c:strCache>
            </c:strRef>
          </c:cat>
          <c:val>
            <c:numRef>
              <c:f>Hoja1!$B$2:$B$3</c:f>
              <c:numCache>
                <c:formatCode>#,##0</c:formatCode>
                <c:ptCount val="2"/>
                <c:pt idx="0">
                  <c:v>1695</c:v>
                </c:pt>
                <c:pt idx="1">
                  <c:v>145731</c:v>
                </c:pt>
              </c:numCache>
            </c:numRef>
          </c:val>
          <c:extLst>
            <c:ext xmlns:c16="http://schemas.microsoft.com/office/drawing/2014/chart" uri="{C3380CC4-5D6E-409C-BE32-E72D297353CC}">
              <c16:uniqueId val="{00000000-95F5-E94A-950F-315C6D738B33}"/>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0"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20162262909767E-2"/>
          <c:y val="0.14352350197344815"/>
          <c:w val="0.9517596754741805"/>
          <c:h val="0.6686285312290754"/>
        </c:manualLayout>
      </c:layout>
      <c:barChart>
        <c:barDir val="col"/>
        <c:grouping val="clustered"/>
        <c:varyColors val="0"/>
        <c:ser>
          <c:idx val="0"/>
          <c:order val="0"/>
          <c:tx>
            <c:strRef>
              <c:f>Hoja1!$B$1</c:f>
              <c:strCache>
                <c:ptCount val="1"/>
                <c:pt idx="0">
                  <c:v>Columna1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Century Gothic" panose="020B0502020202020204" pitchFamily="34" charset="0"/>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formatCode="mmm\-yy">
                  <c:v>43922</c:v>
                </c:pt>
              </c:numCache>
            </c:numRef>
          </c:cat>
          <c:val>
            <c:numRef>
              <c:f>Hoja1!$B$2:$B$13</c:f>
              <c:numCache>
                <c:formatCode>General</c:formatCode>
                <c:ptCount val="12"/>
                <c:pt idx="0">
                  <c:v>62</c:v>
                </c:pt>
                <c:pt idx="1">
                  <c:v>83</c:v>
                </c:pt>
                <c:pt idx="2">
                  <c:v>115</c:v>
                </c:pt>
                <c:pt idx="3">
                  <c:v>118</c:v>
                </c:pt>
                <c:pt idx="4">
                  <c:v>157</c:v>
                </c:pt>
                <c:pt idx="5">
                  <c:v>104</c:v>
                </c:pt>
                <c:pt idx="6">
                  <c:v>141</c:v>
                </c:pt>
                <c:pt idx="7">
                  <c:v>140</c:v>
                </c:pt>
                <c:pt idx="8">
                  <c:v>152</c:v>
                </c:pt>
                <c:pt idx="9">
                  <c:v>230</c:v>
                </c:pt>
                <c:pt idx="10">
                  <c:v>234</c:v>
                </c:pt>
                <c:pt idx="11">
                  <c:v>31</c:v>
                </c:pt>
              </c:numCache>
            </c:numRef>
          </c:val>
          <c:extLst>
            <c:ext xmlns:c16="http://schemas.microsoft.com/office/drawing/2014/chart" uri="{C3380CC4-5D6E-409C-BE32-E72D297353CC}">
              <c16:uniqueId val="{00000000-6AB3-F143-B9E2-CCAD13735E7B}"/>
            </c:ext>
          </c:extLst>
        </c:ser>
        <c:dLbls>
          <c:dLblPos val="outEnd"/>
          <c:showLegendKey val="0"/>
          <c:showVal val="1"/>
          <c:showCatName val="0"/>
          <c:showSerName val="0"/>
          <c:showPercent val="0"/>
          <c:showBubbleSize val="0"/>
        </c:dLbls>
        <c:gapWidth val="219"/>
        <c:overlap val="-27"/>
        <c:axId val="1231698463"/>
        <c:axId val="1155130991"/>
      </c:barChart>
      <c:catAx>
        <c:axId val="12316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Century Gothic" panose="020B0502020202020204" pitchFamily="34" charset="0"/>
                <a:ea typeface="+mn-ea"/>
                <a:cs typeface="+mn-cs"/>
              </a:defRPr>
            </a:pPr>
            <a:endParaRPr lang="es-AR"/>
          </a:p>
        </c:txPr>
        <c:crossAx val="1155130991"/>
        <c:crosses val="autoZero"/>
        <c:auto val="1"/>
        <c:lblAlgn val="ctr"/>
        <c:lblOffset val="100"/>
        <c:noMultiLvlLbl val="0"/>
      </c:catAx>
      <c:valAx>
        <c:axId val="1155130991"/>
        <c:scaling>
          <c:orientation val="minMax"/>
        </c:scaling>
        <c:delete val="1"/>
        <c:axPos val="l"/>
        <c:numFmt formatCode="General" sourceLinked="1"/>
        <c:majorTickMark val="none"/>
        <c:minorTickMark val="none"/>
        <c:tickLblPos val="nextTo"/>
        <c:crossAx val="123169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3ED05-0441-1A4B-8033-2A88A3A4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13939</Words>
  <Characters>76666</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VALENZUELA</dc:creator>
  <cp:lastModifiedBy>Microsoft Office User</cp:lastModifiedBy>
  <cp:revision>5</cp:revision>
  <cp:lastPrinted>2019-10-08T17:24:00Z</cp:lastPrinted>
  <dcterms:created xsi:type="dcterms:W3CDTF">2020-04-17T22:38:00Z</dcterms:created>
  <dcterms:modified xsi:type="dcterms:W3CDTF">2020-04-17T23:02:00Z</dcterms:modified>
</cp:coreProperties>
</file>